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0DA" w:rsidRDefault="006538A8" w:rsidP="006538A8">
      <w:pPr>
        <w:jc w:val="center"/>
        <w:rPr>
          <w:sz w:val="32"/>
          <w:szCs w:val="32"/>
        </w:rPr>
      </w:pPr>
      <w:r w:rsidRPr="00BF77AA">
        <w:rPr>
          <w:rFonts w:hint="eastAsia"/>
          <w:sz w:val="32"/>
          <w:szCs w:val="32"/>
        </w:rPr>
        <w:t>“</w:t>
      </w:r>
      <w:r w:rsidRPr="00BF77AA">
        <w:rPr>
          <w:rFonts w:hint="eastAsia"/>
          <w:sz w:val="32"/>
          <w:szCs w:val="32"/>
        </w:rPr>
        <w:t>2018-2019</w:t>
      </w:r>
      <w:r w:rsidRPr="00BF77AA">
        <w:rPr>
          <w:rFonts w:hint="eastAsia"/>
          <w:sz w:val="32"/>
          <w:szCs w:val="32"/>
        </w:rPr>
        <w:t>年上海金融业改革发展优秀研究成果”</w:t>
      </w:r>
    </w:p>
    <w:p w:rsidR="006538A8" w:rsidRPr="00BF77AA" w:rsidRDefault="008D6DA6" w:rsidP="006538A8">
      <w:pPr>
        <w:jc w:val="center"/>
        <w:rPr>
          <w:sz w:val="32"/>
          <w:szCs w:val="32"/>
        </w:rPr>
      </w:pPr>
      <w:r>
        <w:rPr>
          <w:rFonts w:hint="eastAsia"/>
          <w:sz w:val="32"/>
          <w:szCs w:val="32"/>
        </w:rPr>
        <w:t>入围</w:t>
      </w:r>
      <w:r w:rsidR="000F30DA">
        <w:rPr>
          <w:rFonts w:hint="eastAsia"/>
          <w:sz w:val="32"/>
          <w:szCs w:val="32"/>
        </w:rPr>
        <w:t>名单（排名不分先后）</w:t>
      </w:r>
    </w:p>
    <w:p w:rsidR="00D66EDC" w:rsidRDefault="00D66EDC" w:rsidP="00093149">
      <w:pPr>
        <w:jc w:val="center"/>
      </w:pPr>
    </w:p>
    <w:p w:rsidR="00D66EDC" w:rsidRPr="00851BF9" w:rsidRDefault="00D66EDC" w:rsidP="00D66EDC">
      <w:pPr>
        <w:jc w:val="left"/>
        <w:rPr>
          <w:b/>
          <w:sz w:val="32"/>
          <w:szCs w:val="32"/>
        </w:rPr>
      </w:pPr>
      <w:r w:rsidRPr="00851BF9">
        <w:rPr>
          <w:rFonts w:hint="eastAsia"/>
          <w:b/>
          <w:sz w:val="32"/>
          <w:szCs w:val="32"/>
        </w:rPr>
        <w:t>银行组</w:t>
      </w:r>
    </w:p>
    <w:tbl>
      <w:tblPr>
        <w:tblStyle w:val="a5"/>
        <w:tblW w:w="8613" w:type="dxa"/>
        <w:tblLook w:val="04A0"/>
      </w:tblPr>
      <w:tblGrid>
        <w:gridCol w:w="4253"/>
        <w:gridCol w:w="2943"/>
        <w:gridCol w:w="1417"/>
      </w:tblGrid>
      <w:tr w:rsidR="00BE71BB" w:rsidRPr="00D53CF1" w:rsidTr="008D6DA6">
        <w:trPr>
          <w:trHeight w:val="489"/>
        </w:trPr>
        <w:tc>
          <w:tcPr>
            <w:tcW w:w="4253" w:type="dxa"/>
            <w:noWrap/>
            <w:hideMark/>
          </w:tcPr>
          <w:p w:rsidR="00BE71BB" w:rsidRPr="000F30DA" w:rsidRDefault="00BE71BB" w:rsidP="003C78F2">
            <w:pPr>
              <w:rPr>
                <w:b/>
              </w:rPr>
            </w:pPr>
            <w:r w:rsidRPr="000F30DA">
              <w:rPr>
                <w:rFonts w:hint="eastAsia"/>
                <w:b/>
              </w:rPr>
              <w:t>获奖成果名称</w:t>
            </w:r>
          </w:p>
        </w:tc>
        <w:tc>
          <w:tcPr>
            <w:tcW w:w="2943" w:type="dxa"/>
            <w:noWrap/>
            <w:hideMark/>
          </w:tcPr>
          <w:p w:rsidR="00BE71BB" w:rsidRPr="000F30DA" w:rsidRDefault="00BE71BB" w:rsidP="003C78F2">
            <w:pPr>
              <w:rPr>
                <w:b/>
              </w:rPr>
            </w:pPr>
            <w:r w:rsidRPr="000F30DA">
              <w:rPr>
                <w:rFonts w:hint="eastAsia"/>
                <w:b/>
              </w:rPr>
              <w:t>申报单位</w:t>
            </w:r>
          </w:p>
        </w:tc>
        <w:tc>
          <w:tcPr>
            <w:tcW w:w="1417" w:type="dxa"/>
          </w:tcPr>
          <w:p w:rsidR="00BE71BB" w:rsidRPr="000F30DA" w:rsidRDefault="00BE71BB" w:rsidP="003C78F2">
            <w:pPr>
              <w:rPr>
                <w:b/>
              </w:rPr>
            </w:pPr>
            <w:r w:rsidRPr="000F30DA">
              <w:rPr>
                <w:rFonts w:hint="eastAsia"/>
                <w:b/>
              </w:rPr>
              <w:t>项目负责人</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长三角民营企业分布、一体化扩张路径与金融服务创新</w:t>
            </w:r>
          </w:p>
        </w:tc>
        <w:tc>
          <w:tcPr>
            <w:tcW w:w="2943" w:type="dxa"/>
            <w:noWrap/>
            <w:hideMark/>
          </w:tcPr>
          <w:p w:rsidR="00BE71BB" w:rsidRPr="00D53CF1" w:rsidRDefault="00BE71BB" w:rsidP="003C78F2">
            <w:r w:rsidRPr="00D53CF1">
              <w:rPr>
                <w:rFonts w:hint="eastAsia"/>
              </w:rPr>
              <w:t>中国工商银行上海市分行管理信息部</w:t>
            </w:r>
          </w:p>
        </w:tc>
        <w:tc>
          <w:tcPr>
            <w:tcW w:w="1417" w:type="dxa"/>
          </w:tcPr>
          <w:p w:rsidR="00BE71BB" w:rsidRPr="00D53CF1" w:rsidRDefault="004E148D" w:rsidP="00851BF9">
            <w:r w:rsidRPr="004E148D">
              <w:rPr>
                <w:rFonts w:hint="eastAsia"/>
              </w:rPr>
              <w:t>邹冬沪</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中小银行对小微信贷政策传导情况的研究</w:t>
            </w:r>
          </w:p>
        </w:tc>
        <w:tc>
          <w:tcPr>
            <w:tcW w:w="2943" w:type="dxa"/>
            <w:noWrap/>
            <w:hideMark/>
          </w:tcPr>
          <w:p w:rsidR="00BE71BB" w:rsidRPr="00D53CF1" w:rsidRDefault="00BE71BB" w:rsidP="003C78F2">
            <w:r w:rsidRPr="00D53CF1">
              <w:rPr>
                <w:rFonts w:hint="eastAsia"/>
              </w:rPr>
              <w:t>上海银行总行计划财务部</w:t>
            </w:r>
          </w:p>
        </w:tc>
        <w:tc>
          <w:tcPr>
            <w:tcW w:w="1417" w:type="dxa"/>
          </w:tcPr>
          <w:p w:rsidR="00BE71BB" w:rsidRPr="00D53CF1" w:rsidRDefault="001E720D" w:rsidP="003C78F2">
            <w:r w:rsidRPr="001E720D">
              <w:rPr>
                <w:rFonts w:hint="eastAsia"/>
              </w:rPr>
              <w:t>张吉光</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商业银行服务乡村振兴战略策略研究</w:t>
            </w:r>
          </w:p>
        </w:tc>
        <w:tc>
          <w:tcPr>
            <w:tcW w:w="2943" w:type="dxa"/>
            <w:noWrap/>
            <w:hideMark/>
          </w:tcPr>
          <w:p w:rsidR="00BE71BB" w:rsidRPr="00D53CF1" w:rsidRDefault="00BE71BB" w:rsidP="003C78F2">
            <w:r w:rsidRPr="00D53CF1">
              <w:rPr>
                <w:rFonts w:hint="eastAsia"/>
              </w:rPr>
              <w:t>上海农商银行</w:t>
            </w:r>
          </w:p>
        </w:tc>
        <w:tc>
          <w:tcPr>
            <w:tcW w:w="1417" w:type="dxa"/>
          </w:tcPr>
          <w:p w:rsidR="00BE71BB" w:rsidRPr="00D53CF1" w:rsidRDefault="001E720D" w:rsidP="003C78F2">
            <w:r w:rsidRPr="001E720D">
              <w:rPr>
                <w:rFonts w:hint="eastAsia"/>
              </w:rPr>
              <w:t>赵智峰</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上海地区商业银行拓展地产大宗交易并购贷款的模式分析与策略建议</w:t>
            </w:r>
          </w:p>
        </w:tc>
        <w:tc>
          <w:tcPr>
            <w:tcW w:w="2943" w:type="dxa"/>
            <w:noWrap/>
            <w:hideMark/>
          </w:tcPr>
          <w:p w:rsidR="00BE71BB" w:rsidRPr="00D53CF1" w:rsidRDefault="00BE71BB" w:rsidP="003C78F2">
            <w:r w:rsidRPr="00D53CF1">
              <w:rPr>
                <w:rFonts w:hint="eastAsia"/>
              </w:rPr>
              <w:t>中国银行上海市分行</w:t>
            </w:r>
          </w:p>
        </w:tc>
        <w:tc>
          <w:tcPr>
            <w:tcW w:w="1417" w:type="dxa"/>
          </w:tcPr>
          <w:p w:rsidR="00BE71BB" w:rsidRPr="00D53CF1" w:rsidRDefault="001E720D" w:rsidP="003C78F2">
            <w:r w:rsidRPr="001E720D">
              <w:rPr>
                <w:rFonts w:hint="eastAsia"/>
              </w:rPr>
              <w:t>姜晓黎</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国际结算便利化—银税互通课题研究报告</w:t>
            </w:r>
          </w:p>
        </w:tc>
        <w:tc>
          <w:tcPr>
            <w:tcW w:w="2943" w:type="dxa"/>
            <w:noWrap/>
            <w:hideMark/>
          </w:tcPr>
          <w:p w:rsidR="00BE71BB" w:rsidRPr="00D53CF1" w:rsidRDefault="00BE71BB" w:rsidP="003C78F2">
            <w:r w:rsidRPr="00D53CF1">
              <w:rPr>
                <w:rFonts w:hint="eastAsia"/>
              </w:rPr>
              <w:t>上海银行同业公会</w:t>
            </w:r>
          </w:p>
        </w:tc>
        <w:tc>
          <w:tcPr>
            <w:tcW w:w="1417" w:type="dxa"/>
          </w:tcPr>
          <w:p w:rsidR="00BE71BB" w:rsidRPr="00D53CF1" w:rsidRDefault="00B62EB6" w:rsidP="003C78F2">
            <w:r>
              <w:t>范理</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基于大数据的信托公司智能风控研究与应用</w:t>
            </w:r>
          </w:p>
        </w:tc>
        <w:tc>
          <w:tcPr>
            <w:tcW w:w="2943" w:type="dxa"/>
            <w:noWrap/>
            <w:hideMark/>
          </w:tcPr>
          <w:p w:rsidR="00BE71BB" w:rsidRPr="00D53CF1" w:rsidRDefault="00BE71BB" w:rsidP="003C78F2">
            <w:r w:rsidRPr="00D53CF1">
              <w:rPr>
                <w:rFonts w:hint="eastAsia"/>
              </w:rPr>
              <w:t>陆家嘴国际信托</w:t>
            </w:r>
          </w:p>
        </w:tc>
        <w:tc>
          <w:tcPr>
            <w:tcW w:w="1417" w:type="dxa"/>
          </w:tcPr>
          <w:p w:rsidR="00BE71BB" w:rsidRPr="00D53CF1" w:rsidRDefault="00B62EB6" w:rsidP="003C78F2">
            <w:r>
              <w:t>王前</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商业银行货币政策利率传导的实证研究</w:t>
            </w:r>
          </w:p>
        </w:tc>
        <w:tc>
          <w:tcPr>
            <w:tcW w:w="2943" w:type="dxa"/>
            <w:noWrap/>
            <w:hideMark/>
          </w:tcPr>
          <w:p w:rsidR="00BE71BB" w:rsidRPr="00D53CF1" w:rsidRDefault="00BE71BB" w:rsidP="003C78F2">
            <w:r w:rsidRPr="00D53CF1">
              <w:rPr>
                <w:rFonts w:hint="eastAsia"/>
              </w:rPr>
              <w:t>上海银行总行计划财务部</w:t>
            </w:r>
          </w:p>
        </w:tc>
        <w:tc>
          <w:tcPr>
            <w:tcW w:w="1417" w:type="dxa"/>
          </w:tcPr>
          <w:p w:rsidR="00BE71BB" w:rsidRPr="00D53CF1" w:rsidRDefault="00F468C6" w:rsidP="003C78F2">
            <w:r w:rsidRPr="001E720D">
              <w:rPr>
                <w:rFonts w:hint="eastAsia"/>
              </w:rPr>
              <w:t>张吉光</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上海银行业声誉风险对冲机制建设研究</w:t>
            </w:r>
          </w:p>
        </w:tc>
        <w:tc>
          <w:tcPr>
            <w:tcW w:w="2943" w:type="dxa"/>
            <w:noWrap/>
            <w:hideMark/>
          </w:tcPr>
          <w:p w:rsidR="00BE71BB" w:rsidRPr="00D53CF1" w:rsidRDefault="00BE71BB" w:rsidP="003C78F2">
            <w:r w:rsidRPr="00D53CF1">
              <w:rPr>
                <w:rFonts w:hint="eastAsia"/>
              </w:rPr>
              <w:t>上海银行同业公会</w:t>
            </w:r>
          </w:p>
        </w:tc>
        <w:tc>
          <w:tcPr>
            <w:tcW w:w="1417" w:type="dxa"/>
          </w:tcPr>
          <w:p w:rsidR="00BE71BB" w:rsidRPr="00D53CF1" w:rsidRDefault="00B62EB6" w:rsidP="003C78F2">
            <w:r>
              <w:t>孙卫东</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上海商业银行储蓄存款竞争力影响因素分析</w:t>
            </w:r>
          </w:p>
        </w:tc>
        <w:tc>
          <w:tcPr>
            <w:tcW w:w="2943" w:type="dxa"/>
            <w:noWrap/>
            <w:hideMark/>
          </w:tcPr>
          <w:p w:rsidR="00BE71BB" w:rsidRPr="00D53CF1" w:rsidRDefault="00BE71BB" w:rsidP="003C78F2">
            <w:r w:rsidRPr="00D53CF1">
              <w:rPr>
                <w:rFonts w:hint="eastAsia"/>
              </w:rPr>
              <w:t>中国工商银行上海市分行管理信息部</w:t>
            </w:r>
          </w:p>
        </w:tc>
        <w:tc>
          <w:tcPr>
            <w:tcW w:w="1417" w:type="dxa"/>
          </w:tcPr>
          <w:p w:rsidR="00BE71BB" w:rsidRPr="00D53CF1" w:rsidRDefault="004E148D" w:rsidP="003C78F2">
            <w:r w:rsidRPr="004E148D">
              <w:rPr>
                <w:rFonts w:hint="eastAsia"/>
              </w:rPr>
              <w:t>徐红</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后疫情时代中小银行金融科技战略的思考</w:t>
            </w:r>
          </w:p>
        </w:tc>
        <w:tc>
          <w:tcPr>
            <w:tcW w:w="2943" w:type="dxa"/>
            <w:noWrap/>
            <w:hideMark/>
          </w:tcPr>
          <w:p w:rsidR="00BE71BB" w:rsidRPr="00D53CF1" w:rsidRDefault="00BE71BB" w:rsidP="003C78F2">
            <w:r w:rsidRPr="00D53CF1">
              <w:rPr>
                <w:rFonts w:hint="eastAsia"/>
              </w:rPr>
              <w:t>上海银行总行计划财务部</w:t>
            </w:r>
          </w:p>
        </w:tc>
        <w:tc>
          <w:tcPr>
            <w:tcW w:w="1417" w:type="dxa"/>
          </w:tcPr>
          <w:p w:rsidR="00BE71BB" w:rsidRPr="00D53CF1" w:rsidRDefault="00F468C6" w:rsidP="003C78F2">
            <w:r w:rsidRPr="001E720D">
              <w:rPr>
                <w:rFonts w:hint="eastAsia"/>
              </w:rPr>
              <w:t>张吉光</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支付产业服务实体经济的路径和策略研究——基于上海地区支付生态圈的视角</w:t>
            </w:r>
          </w:p>
        </w:tc>
        <w:tc>
          <w:tcPr>
            <w:tcW w:w="2943" w:type="dxa"/>
            <w:noWrap/>
            <w:hideMark/>
          </w:tcPr>
          <w:p w:rsidR="00BE71BB" w:rsidRPr="00D53CF1" w:rsidRDefault="00BE71BB" w:rsidP="003C78F2">
            <w:r w:rsidRPr="00D53CF1">
              <w:rPr>
                <w:rFonts w:hint="eastAsia"/>
              </w:rPr>
              <w:t>原：交行信用卡中心</w:t>
            </w:r>
            <w:r>
              <w:rPr>
                <w:rFonts w:hint="eastAsia"/>
              </w:rPr>
              <w:t>/</w:t>
            </w:r>
            <w:r w:rsidRPr="00D53CF1">
              <w:rPr>
                <w:rFonts w:hint="eastAsia"/>
              </w:rPr>
              <w:t>现：交行金融科技创新研究院</w:t>
            </w:r>
          </w:p>
        </w:tc>
        <w:tc>
          <w:tcPr>
            <w:tcW w:w="1417" w:type="dxa"/>
          </w:tcPr>
          <w:p w:rsidR="00BE71BB" w:rsidRPr="00D53CF1" w:rsidRDefault="008D6DA6" w:rsidP="003C78F2">
            <w:r w:rsidRPr="008D6DA6">
              <w:rPr>
                <w:rFonts w:hint="eastAsia"/>
              </w:rPr>
              <w:t>王卫东</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利用大数据挖掘提升零售高价值客户的一个案例</w:t>
            </w:r>
          </w:p>
        </w:tc>
        <w:tc>
          <w:tcPr>
            <w:tcW w:w="2943" w:type="dxa"/>
            <w:noWrap/>
            <w:hideMark/>
          </w:tcPr>
          <w:p w:rsidR="00BE71BB" w:rsidRPr="00D53CF1" w:rsidRDefault="00BE71BB" w:rsidP="003C78F2">
            <w:r w:rsidRPr="00D53CF1">
              <w:rPr>
                <w:rFonts w:hint="eastAsia"/>
              </w:rPr>
              <w:t>兴业银行股份有限公司上海银行</w:t>
            </w:r>
          </w:p>
        </w:tc>
        <w:tc>
          <w:tcPr>
            <w:tcW w:w="1417" w:type="dxa"/>
          </w:tcPr>
          <w:p w:rsidR="00BE71BB" w:rsidRPr="00D53CF1" w:rsidRDefault="00F468C6" w:rsidP="003C78F2">
            <w:r w:rsidRPr="00F468C6">
              <w:rPr>
                <w:rFonts w:hint="eastAsia"/>
              </w:rPr>
              <w:t>孙黎斌</w:t>
            </w:r>
          </w:p>
        </w:tc>
      </w:tr>
      <w:tr w:rsidR="00BE71BB" w:rsidRPr="00D53CF1" w:rsidTr="008D6DA6">
        <w:trPr>
          <w:trHeight w:val="270"/>
        </w:trPr>
        <w:tc>
          <w:tcPr>
            <w:tcW w:w="4253" w:type="dxa"/>
            <w:noWrap/>
            <w:hideMark/>
          </w:tcPr>
          <w:p w:rsidR="00BE71BB" w:rsidRPr="00D53CF1" w:rsidRDefault="00E907D2" w:rsidP="003C78F2">
            <w:r>
              <w:rPr>
                <w:rFonts w:hint="eastAsia"/>
              </w:rPr>
              <w:t>数据挖掘分析技术</w:t>
            </w:r>
            <w:r w:rsidR="00133F0C">
              <w:rPr>
                <w:rFonts w:hint="eastAsia"/>
              </w:rPr>
              <w:t>：</w:t>
            </w:r>
            <w:r w:rsidR="00BE71BB" w:rsidRPr="00D53CF1">
              <w:rPr>
                <w:rFonts w:hint="eastAsia"/>
              </w:rPr>
              <w:t>支付系统风险监管防控的安全卫士</w:t>
            </w:r>
          </w:p>
        </w:tc>
        <w:tc>
          <w:tcPr>
            <w:tcW w:w="2943" w:type="dxa"/>
            <w:noWrap/>
            <w:hideMark/>
          </w:tcPr>
          <w:p w:rsidR="00BE71BB" w:rsidRPr="00D53CF1" w:rsidRDefault="00BE71BB" w:rsidP="003C78F2">
            <w:r w:rsidRPr="00D53CF1">
              <w:rPr>
                <w:rFonts w:hint="eastAsia"/>
              </w:rPr>
              <w:t>招商银行上海分行</w:t>
            </w:r>
          </w:p>
        </w:tc>
        <w:tc>
          <w:tcPr>
            <w:tcW w:w="1417" w:type="dxa"/>
          </w:tcPr>
          <w:p w:rsidR="00BE71BB" w:rsidRPr="00D53CF1" w:rsidRDefault="00E907D2" w:rsidP="003C78F2">
            <w:r>
              <w:t>康赞</w:t>
            </w:r>
          </w:p>
        </w:tc>
      </w:tr>
      <w:tr w:rsidR="00BE71BB" w:rsidRPr="00D53CF1" w:rsidTr="008D6DA6">
        <w:trPr>
          <w:trHeight w:val="270"/>
        </w:trPr>
        <w:tc>
          <w:tcPr>
            <w:tcW w:w="4253" w:type="dxa"/>
            <w:noWrap/>
            <w:hideMark/>
          </w:tcPr>
          <w:p w:rsidR="00BE71BB" w:rsidRPr="00D53CF1" w:rsidRDefault="00BE71BB" w:rsidP="003C78F2">
            <w:r w:rsidRPr="00DE48BA">
              <w:rPr>
                <w:rFonts w:hint="eastAsia"/>
              </w:rPr>
              <w:t>新时代商业银行个人银行账户分类管理研究</w:t>
            </w:r>
          </w:p>
        </w:tc>
        <w:tc>
          <w:tcPr>
            <w:tcW w:w="2943" w:type="dxa"/>
            <w:noWrap/>
            <w:hideMark/>
          </w:tcPr>
          <w:p w:rsidR="00BE71BB" w:rsidRPr="00D53CF1" w:rsidRDefault="00BE71BB" w:rsidP="003C78F2">
            <w:r w:rsidRPr="00D53CF1">
              <w:rPr>
                <w:rFonts w:hint="eastAsia"/>
              </w:rPr>
              <w:t>交通银行总行营运部</w:t>
            </w:r>
          </w:p>
        </w:tc>
        <w:tc>
          <w:tcPr>
            <w:tcW w:w="1417" w:type="dxa"/>
          </w:tcPr>
          <w:p w:rsidR="00BE71BB" w:rsidRPr="00D53CF1" w:rsidRDefault="00122FCF" w:rsidP="003C78F2">
            <w:r w:rsidRPr="00122FCF">
              <w:rPr>
                <w:rFonts w:hint="eastAsia"/>
              </w:rPr>
              <w:t>高峰</w:t>
            </w:r>
          </w:p>
        </w:tc>
      </w:tr>
      <w:tr w:rsidR="00BE71BB" w:rsidRPr="00D53CF1" w:rsidTr="008D6DA6">
        <w:trPr>
          <w:trHeight w:val="270"/>
        </w:trPr>
        <w:tc>
          <w:tcPr>
            <w:tcW w:w="4253" w:type="dxa"/>
            <w:noWrap/>
            <w:hideMark/>
          </w:tcPr>
          <w:p w:rsidR="00BE71BB" w:rsidRPr="00D53CF1" w:rsidRDefault="00BE71BB" w:rsidP="00133F0C">
            <w:r w:rsidRPr="00D53CF1">
              <w:rPr>
                <w:rFonts w:hint="eastAsia"/>
              </w:rPr>
              <w:t>破茧成蝶</w:t>
            </w:r>
            <w:r w:rsidRPr="00D53CF1">
              <w:rPr>
                <w:rFonts w:hint="eastAsia"/>
              </w:rPr>
              <w:t xml:space="preserve"> </w:t>
            </w:r>
            <w:r w:rsidRPr="00D53CF1">
              <w:rPr>
                <w:rFonts w:hint="eastAsia"/>
              </w:rPr>
              <w:t>变中求胜—浦发银行一级分行集中审批制度初探</w:t>
            </w:r>
          </w:p>
        </w:tc>
        <w:tc>
          <w:tcPr>
            <w:tcW w:w="2943" w:type="dxa"/>
            <w:noWrap/>
            <w:hideMark/>
          </w:tcPr>
          <w:p w:rsidR="00BE71BB" w:rsidRPr="00D53CF1" w:rsidRDefault="00BE71BB" w:rsidP="003C78F2">
            <w:r w:rsidRPr="00D53CF1">
              <w:rPr>
                <w:rFonts w:hint="eastAsia"/>
              </w:rPr>
              <w:t>上海浦东发展银行</w:t>
            </w:r>
          </w:p>
        </w:tc>
        <w:tc>
          <w:tcPr>
            <w:tcW w:w="1417" w:type="dxa"/>
          </w:tcPr>
          <w:p w:rsidR="00BE71BB" w:rsidRPr="00D53CF1" w:rsidRDefault="008D6DA6" w:rsidP="003C78F2">
            <w:r w:rsidRPr="008D6DA6">
              <w:rPr>
                <w:rFonts w:hint="eastAsia"/>
              </w:rPr>
              <w:t>刘以研</w:t>
            </w:r>
          </w:p>
        </w:tc>
      </w:tr>
      <w:tr w:rsidR="00BE71BB" w:rsidRPr="00D53CF1" w:rsidTr="008D6DA6">
        <w:trPr>
          <w:trHeight w:val="270"/>
        </w:trPr>
        <w:tc>
          <w:tcPr>
            <w:tcW w:w="4253" w:type="dxa"/>
            <w:noWrap/>
            <w:hideMark/>
          </w:tcPr>
          <w:p w:rsidR="00BE71BB" w:rsidRPr="00D53CF1" w:rsidRDefault="00BE71BB" w:rsidP="00133F0C">
            <w:r w:rsidRPr="00D53CF1">
              <w:rPr>
                <w:rFonts w:hint="eastAsia"/>
              </w:rPr>
              <w:t>汇率形成机制改革背景下中国上市商业银行汇率风险研究—基于</w:t>
            </w:r>
            <w:r w:rsidRPr="00D53CF1">
              <w:rPr>
                <w:rFonts w:hint="eastAsia"/>
              </w:rPr>
              <w:t>GARCH</w:t>
            </w:r>
            <w:r w:rsidRPr="00D53CF1">
              <w:rPr>
                <w:rFonts w:hint="eastAsia"/>
              </w:rPr>
              <w:t>类模型的实证分析</w:t>
            </w:r>
          </w:p>
        </w:tc>
        <w:tc>
          <w:tcPr>
            <w:tcW w:w="2943" w:type="dxa"/>
            <w:noWrap/>
            <w:hideMark/>
          </w:tcPr>
          <w:p w:rsidR="00BE71BB" w:rsidRPr="00D53CF1" w:rsidRDefault="00BE71BB" w:rsidP="003C78F2">
            <w:r w:rsidRPr="00D53CF1">
              <w:rPr>
                <w:rFonts w:hint="eastAsia"/>
              </w:rPr>
              <w:t>南京银行上海分行</w:t>
            </w:r>
          </w:p>
        </w:tc>
        <w:tc>
          <w:tcPr>
            <w:tcW w:w="1417" w:type="dxa"/>
          </w:tcPr>
          <w:p w:rsidR="00BE71BB" w:rsidRPr="00D53CF1" w:rsidRDefault="00F468C6" w:rsidP="003C78F2">
            <w:r w:rsidRPr="00F468C6">
              <w:rPr>
                <w:rFonts w:hint="eastAsia"/>
              </w:rPr>
              <w:t>成凯</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金融创新新模式：自助金融—基于商业银行视角的研究</w:t>
            </w:r>
          </w:p>
        </w:tc>
        <w:tc>
          <w:tcPr>
            <w:tcW w:w="2943" w:type="dxa"/>
            <w:noWrap/>
            <w:hideMark/>
          </w:tcPr>
          <w:p w:rsidR="00BE71BB" w:rsidRPr="00D53CF1" w:rsidRDefault="00BE71BB" w:rsidP="003C78F2">
            <w:r w:rsidRPr="00D53CF1">
              <w:rPr>
                <w:rFonts w:hint="eastAsia"/>
              </w:rPr>
              <w:t>中国农业银行信用卡中心</w:t>
            </w:r>
          </w:p>
        </w:tc>
        <w:tc>
          <w:tcPr>
            <w:tcW w:w="1417" w:type="dxa"/>
          </w:tcPr>
          <w:p w:rsidR="00BE71BB" w:rsidRPr="00D53CF1" w:rsidRDefault="00B478D4" w:rsidP="003C78F2">
            <w:r w:rsidRPr="00B478D4">
              <w:rPr>
                <w:rFonts w:hint="eastAsia"/>
              </w:rPr>
              <w:t>高尚</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开放银行</w:t>
            </w:r>
            <w:r w:rsidRPr="00D53CF1">
              <w:rPr>
                <w:rFonts w:hint="eastAsia"/>
              </w:rPr>
              <w:t xml:space="preserve"> </w:t>
            </w:r>
            <w:r w:rsidRPr="00D53CF1">
              <w:rPr>
                <w:rFonts w:hint="eastAsia"/>
              </w:rPr>
              <w:t>数字化转型新范式</w:t>
            </w:r>
          </w:p>
        </w:tc>
        <w:tc>
          <w:tcPr>
            <w:tcW w:w="2943" w:type="dxa"/>
            <w:noWrap/>
            <w:hideMark/>
          </w:tcPr>
          <w:p w:rsidR="00BE71BB" w:rsidRPr="00D53CF1" w:rsidRDefault="00BE71BB" w:rsidP="003C78F2">
            <w:r w:rsidRPr="00D53CF1">
              <w:rPr>
                <w:rFonts w:hint="eastAsia"/>
              </w:rPr>
              <w:t>上海浦东发展银行</w:t>
            </w:r>
          </w:p>
        </w:tc>
        <w:tc>
          <w:tcPr>
            <w:tcW w:w="1417" w:type="dxa"/>
          </w:tcPr>
          <w:p w:rsidR="00BE71BB" w:rsidRPr="00D53CF1" w:rsidRDefault="00122FCF" w:rsidP="003C78F2">
            <w:r w:rsidRPr="00122FCF">
              <w:rPr>
                <w:rFonts w:hint="eastAsia"/>
              </w:rPr>
              <w:t>潘卫东</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大数据项下的普惠金融</w:t>
            </w:r>
          </w:p>
        </w:tc>
        <w:tc>
          <w:tcPr>
            <w:tcW w:w="2943" w:type="dxa"/>
            <w:noWrap/>
            <w:hideMark/>
          </w:tcPr>
          <w:p w:rsidR="00BE71BB" w:rsidRPr="00D53CF1" w:rsidRDefault="00BE71BB" w:rsidP="003C78F2">
            <w:r w:rsidRPr="00D53CF1">
              <w:rPr>
                <w:rFonts w:hint="eastAsia"/>
              </w:rPr>
              <w:t>南京银行上海分行</w:t>
            </w:r>
          </w:p>
        </w:tc>
        <w:tc>
          <w:tcPr>
            <w:tcW w:w="1417" w:type="dxa"/>
          </w:tcPr>
          <w:p w:rsidR="00BE71BB" w:rsidRPr="00D53CF1" w:rsidRDefault="00B478D4" w:rsidP="003C78F2">
            <w:r w:rsidRPr="00B478D4">
              <w:rPr>
                <w:rFonts w:hint="eastAsia"/>
              </w:rPr>
              <w:t>高致</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跨境支付：信用卡业务发展新“蓝海”</w:t>
            </w:r>
          </w:p>
        </w:tc>
        <w:tc>
          <w:tcPr>
            <w:tcW w:w="2943" w:type="dxa"/>
            <w:noWrap/>
            <w:hideMark/>
          </w:tcPr>
          <w:p w:rsidR="00BE71BB" w:rsidRPr="00D53CF1" w:rsidRDefault="00BE71BB" w:rsidP="003C78F2">
            <w:r w:rsidRPr="00D53CF1">
              <w:rPr>
                <w:rFonts w:hint="eastAsia"/>
              </w:rPr>
              <w:t>中国农业银行信用卡中心</w:t>
            </w:r>
          </w:p>
        </w:tc>
        <w:tc>
          <w:tcPr>
            <w:tcW w:w="1417" w:type="dxa"/>
          </w:tcPr>
          <w:p w:rsidR="00BE71BB" w:rsidRPr="00D53CF1" w:rsidRDefault="00B478D4" w:rsidP="003C78F2">
            <w:r w:rsidRPr="00B478D4">
              <w:rPr>
                <w:rFonts w:hint="eastAsia"/>
              </w:rPr>
              <w:t>薛亚芹</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商业银行大监督机制创新研究</w:t>
            </w:r>
          </w:p>
        </w:tc>
        <w:tc>
          <w:tcPr>
            <w:tcW w:w="2943" w:type="dxa"/>
            <w:noWrap/>
            <w:hideMark/>
          </w:tcPr>
          <w:p w:rsidR="00BE71BB" w:rsidRPr="00D53CF1" w:rsidRDefault="00BE71BB" w:rsidP="003C78F2">
            <w:r w:rsidRPr="00D53CF1">
              <w:rPr>
                <w:rFonts w:hint="eastAsia"/>
              </w:rPr>
              <w:t>华夏银行股份有限公司上海分行</w:t>
            </w:r>
          </w:p>
        </w:tc>
        <w:tc>
          <w:tcPr>
            <w:tcW w:w="1417" w:type="dxa"/>
          </w:tcPr>
          <w:p w:rsidR="00BE71BB" w:rsidRPr="00D53CF1" w:rsidRDefault="00B478D4" w:rsidP="003C78F2">
            <w:r w:rsidRPr="00B478D4">
              <w:rPr>
                <w:rFonts w:hint="eastAsia"/>
              </w:rPr>
              <w:t>谭志斌</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去产能领域产能再次过剩的可能性辨析</w:t>
            </w:r>
          </w:p>
        </w:tc>
        <w:tc>
          <w:tcPr>
            <w:tcW w:w="2943" w:type="dxa"/>
            <w:noWrap/>
            <w:hideMark/>
          </w:tcPr>
          <w:p w:rsidR="00BE71BB" w:rsidRPr="00D53CF1" w:rsidRDefault="00BE71BB" w:rsidP="003C78F2">
            <w:r w:rsidRPr="00D53CF1">
              <w:rPr>
                <w:rFonts w:hint="eastAsia"/>
              </w:rPr>
              <w:t>上海浦东发展银行</w:t>
            </w:r>
          </w:p>
        </w:tc>
        <w:tc>
          <w:tcPr>
            <w:tcW w:w="1417" w:type="dxa"/>
          </w:tcPr>
          <w:p w:rsidR="00BE71BB" w:rsidRPr="00D53CF1" w:rsidRDefault="00B478D4" w:rsidP="003C78F2">
            <w:r w:rsidRPr="00B478D4">
              <w:rPr>
                <w:rFonts w:hint="eastAsia"/>
              </w:rPr>
              <w:t>宋艳伟</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利率市场化对我国商业银行影响的实证分析</w:t>
            </w:r>
          </w:p>
        </w:tc>
        <w:tc>
          <w:tcPr>
            <w:tcW w:w="2943" w:type="dxa"/>
            <w:noWrap/>
            <w:hideMark/>
          </w:tcPr>
          <w:p w:rsidR="00BE71BB" w:rsidRPr="00D53CF1" w:rsidRDefault="00BE71BB" w:rsidP="003C78F2">
            <w:r w:rsidRPr="00D53CF1">
              <w:rPr>
                <w:rFonts w:hint="eastAsia"/>
              </w:rPr>
              <w:t>中国银行股份有限公司上海市分行</w:t>
            </w:r>
          </w:p>
        </w:tc>
        <w:tc>
          <w:tcPr>
            <w:tcW w:w="1417" w:type="dxa"/>
          </w:tcPr>
          <w:p w:rsidR="00BE71BB" w:rsidRPr="00D53CF1" w:rsidRDefault="00B62EB6" w:rsidP="003C78F2">
            <w:r w:rsidRPr="00B62EB6">
              <w:rPr>
                <w:rFonts w:hint="eastAsia"/>
              </w:rPr>
              <w:t>吴威威</w:t>
            </w:r>
          </w:p>
        </w:tc>
      </w:tr>
      <w:tr w:rsidR="00BE71BB" w:rsidRPr="00D53CF1" w:rsidTr="008D6DA6">
        <w:trPr>
          <w:trHeight w:val="270"/>
        </w:trPr>
        <w:tc>
          <w:tcPr>
            <w:tcW w:w="4253" w:type="dxa"/>
            <w:noWrap/>
            <w:hideMark/>
          </w:tcPr>
          <w:p w:rsidR="00BE71BB" w:rsidRPr="00D53CF1" w:rsidRDefault="00BE71BB" w:rsidP="003C78F2">
            <w:r w:rsidRPr="00D53CF1">
              <w:rPr>
                <w:rFonts w:hint="eastAsia"/>
              </w:rPr>
              <w:lastRenderedPageBreak/>
              <w:t>票据市场量化交易模型初探</w:t>
            </w:r>
          </w:p>
        </w:tc>
        <w:tc>
          <w:tcPr>
            <w:tcW w:w="2943" w:type="dxa"/>
            <w:noWrap/>
            <w:hideMark/>
          </w:tcPr>
          <w:p w:rsidR="00BE71BB" w:rsidRPr="00D53CF1" w:rsidRDefault="00BE71BB" w:rsidP="003C78F2">
            <w:r w:rsidRPr="00D53CF1">
              <w:rPr>
                <w:rFonts w:hint="eastAsia"/>
              </w:rPr>
              <w:t>上海浦东发展银行</w:t>
            </w:r>
          </w:p>
        </w:tc>
        <w:tc>
          <w:tcPr>
            <w:tcW w:w="1417" w:type="dxa"/>
          </w:tcPr>
          <w:p w:rsidR="00BE71BB" w:rsidRPr="00D53CF1" w:rsidRDefault="00B478D4" w:rsidP="003C78F2">
            <w:r w:rsidRPr="00B478D4">
              <w:rPr>
                <w:rFonts w:hint="eastAsia"/>
              </w:rPr>
              <w:t>侯林</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中国绿色债券市场概况及未来展望</w:t>
            </w:r>
          </w:p>
        </w:tc>
        <w:tc>
          <w:tcPr>
            <w:tcW w:w="2943" w:type="dxa"/>
            <w:noWrap/>
            <w:hideMark/>
          </w:tcPr>
          <w:p w:rsidR="00BE71BB" w:rsidRPr="00D53CF1" w:rsidRDefault="00BE71BB" w:rsidP="003C78F2">
            <w:r w:rsidRPr="00D53CF1">
              <w:rPr>
                <w:rFonts w:hint="eastAsia"/>
              </w:rPr>
              <w:t>上海银行同业公会</w:t>
            </w:r>
          </w:p>
        </w:tc>
        <w:tc>
          <w:tcPr>
            <w:tcW w:w="1417" w:type="dxa"/>
          </w:tcPr>
          <w:p w:rsidR="00BE71BB" w:rsidRPr="00D53CF1" w:rsidRDefault="00B62EB6" w:rsidP="003C78F2">
            <w:r>
              <w:t>姜晓华</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基于客户感知价值的颗粒化精准营销研究</w:t>
            </w:r>
            <w:r w:rsidRPr="00D53CF1">
              <w:rPr>
                <w:rFonts w:hint="eastAsia"/>
              </w:rPr>
              <w:t>--</w:t>
            </w:r>
            <w:r w:rsidRPr="00D53CF1">
              <w:rPr>
                <w:rFonts w:hint="eastAsia"/>
              </w:rPr>
              <w:t>以商业银行信用卡业务为视角</w:t>
            </w:r>
          </w:p>
        </w:tc>
        <w:tc>
          <w:tcPr>
            <w:tcW w:w="2943" w:type="dxa"/>
            <w:noWrap/>
            <w:hideMark/>
          </w:tcPr>
          <w:p w:rsidR="00BE71BB" w:rsidRPr="00D53CF1" w:rsidRDefault="00BE71BB" w:rsidP="003C78F2">
            <w:r w:rsidRPr="00D53CF1">
              <w:rPr>
                <w:rFonts w:hint="eastAsia"/>
              </w:rPr>
              <w:t>中国农业银行信用卡中心</w:t>
            </w:r>
          </w:p>
        </w:tc>
        <w:tc>
          <w:tcPr>
            <w:tcW w:w="1417" w:type="dxa"/>
          </w:tcPr>
          <w:p w:rsidR="00BE71BB" w:rsidRPr="00D53CF1" w:rsidRDefault="00B478D4" w:rsidP="003C78F2">
            <w:r w:rsidRPr="00B478D4">
              <w:rPr>
                <w:rFonts w:hint="eastAsia"/>
              </w:rPr>
              <w:t>高尚</w:t>
            </w:r>
          </w:p>
        </w:tc>
      </w:tr>
      <w:tr w:rsidR="00BE71BB" w:rsidRPr="00D53CF1" w:rsidTr="008D6DA6">
        <w:trPr>
          <w:trHeight w:val="270"/>
        </w:trPr>
        <w:tc>
          <w:tcPr>
            <w:tcW w:w="4253" w:type="dxa"/>
            <w:noWrap/>
            <w:hideMark/>
          </w:tcPr>
          <w:p w:rsidR="00BE71BB" w:rsidRPr="00D53CF1" w:rsidRDefault="00BE71BB" w:rsidP="00133F0C">
            <w:r w:rsidRPr="00D53CF1">
              <w:rPr>
                <w:rFonts w:hint="eastAsia"/>
              </w:rPr>
              <w:t>干部队伍教育培训情况分析及思考—以交通银行为例</w:t>
            </w:r>
          </w:p>
        </w:tc>
        <w:tc>
          <w:tcPr>
            <w:tcW w:w="2943" w:type="dxa"/>
            <w:noWrap/>
            <w:hideMark/>
          </w:tcPr>
          <w:p w:rsidR="00BE71BB" w:rsidRPr="00D53CF1" w:rsidRDefault="00BE71BB" w:rsidP="003C78F2">
            <w:r w:rsidRPr="00D53CF1">
              <w:rPr>
                <w:rFonts w:hint="eastAsia"/>
              </w:rPr>
              <w:t>交通银行股份有限公司</w:t>
            </w:r>
          </w:p>
        </w:tc>
        <w:tc>
          <w:tcPr>
            <w:tcW w:w="1417" w:type="dxa"/>
          </w:tcPr>
          <w:p w:rsidR="00BE71BB" w:rsidRPr="00D53CF1" w:rsidRDefault="00F468C6" w:rsidP="003C78F2">
            <w:r w:rsidRPr="00F468C6">
              <w:rPr>
                <w:rFonts w:hint="eastAsia"/>
              </w:rPr>
              <w:t>顾生</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中国消费金融市场研究及上海农商银行消费金融实践与展望</w:t>
            </w:r>
          </w:p>
        </w:tc>
        <w:tc>
          <w:tcPr>
            <w:tcW w:w="2943" w:type="dxa"/>
            <w:noWrap/>
            <w:hideMark/>
          </w:tcPr>
          <w:p w:rsidR="00BE71BB" w:rsidRPr="00D53CF1" w:rsidRDefault="00BE71BB" w:rsidP="003C78F2">
            <w:r w:rsidRPr="00D53CF1">
              <w:rPr>
                <w:rFonts w:hint="eastAsia"/>
              </w:rPr>
              <w:t>上海农商银行</w:t>
            </w:r>
          </w:p>
        </w:tc>
        <w:tc>
          <w:tcPr>
            <w:tcW w:w="1417" w:type="dxa"/>
          </w:tcPr>
          <w:p w:rsidR="00BE71BB" w:rsidRPr="00D53CF1" w:rsidRDefault="00F468C6" w:rsidP="003C78F2">
            <w:r w:rsidRPr="00F468C6">
              <w:rPr>
                <w:rFonts w:hint="eastAsia"/>
              </w:rPr>
              <w:t>李斌</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数字科技赋能工商银行转型升级之路</w:t>
            </w:r>
          </w:p>
        </w:tc>
        <w:tc>
          <w:tcPr>
            <w:tcW w:w="2943" w:type="dxa"/>
            <w:noWrap/>
            <w:hideMark/>
          </w:tcPr>
          <w:p w:rsidR="00BE71BB" w:rsidRPr="00D53CF1" w:rsidRDefault="00BE71BB" w:rsidP="003C78F2">
            <w:r w:rsidRPr="00D53CF1">
              <w:rPr>
                <w:rFonts w:hint="eastAsia"/>
              </w:rPr>
              <w:t>中国工商银行上海市分行办公室</w:t>
            </w:r>
          </w:p>
        </w:tc>
        <w:tc>
          <w:tcPr>
            <w:tcW w:w="1417" w:type="dxa"/>
          </w:tcPr>
          <w:p w:rsidR="00BE71BB" w:rsidRPr="00D53CF1" w:rsidRDefault="000C0C1A" w:rsidP="003C78F2">
            <w:r w:rsidRPr="000C0C1A">
              <w:rPr>
                <w:rFonts w:hint="eastAsia"/>
              </w:rPr>
              <w:t>陈伟强</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人民币国际化对我行传统代理清算业务的影响分析</w:t>
            </w:r>
          </w:p>
        </w:tc>
        <w:tc>
          <w:tcPr>
            <w:tcW w:w="2943" w:type="dxa"/>
            <w:noWrap/>
            <w:hideMark/>
          </w:tcPr>
          <w:p w:rsidR="00BE71BB" w:rsidRPr="00D53CF1" w:rsidRDefault="00BE71BB" w:rsidP="003C78F2">
            <w:r w:rsidRPr="00D53CF1">
              <w:rPr>
                <w:rFonts w:hint="eastAsia"/>
              </w:rPr>
              <w:t>中国银行上海分行南汇支行</w:t>
            </w:r>
            <w:r>
              <w:rPr>
                <w:rFonts w:hint="eastAsia"/>
              </w:rPr>
              <w:t>（</w:t>
            </w:r>
            <w:r w:rsidRPr="00D53CF1">
              <w:rPr>
                <w:rFonts w:hint="eastAsia"/>
              </w:rPr>
              <w:t>原工作单位：支付清算部</w:t>
            </w:r>
            <w:r>
              <w:rPr>
                <w:rFonts w:hint="eastAsia"/>
              </w:rPr>
              <w:t>）</w:t>
            </w:r>
          </w:p>
        </w:tc>
        <w:tc>
          <w:tcPr>
            <w:tcW w:w="1417" w:type="dxa"/>
          </w:tcPr>
          <w:p w:rsidR="00BE71BB" w:rsidRPr="00D53CF1" w:rsidRDefault="00B478D4" w:rsidP="003C78F2">
            <w:r w:rsidRPr="00B478D4">
              <w:rPr>
                <w:rFonts w:hint="eastAsia"/>
              </w:rPr>
              <w:t>陈珮</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大数据背景下商业银行服务模式转型研究</w:t>
            </w:r>
          </w:p>
        </w:tc>
        <w:tc>
          <w:tcPr>
            <w:tcW w:w="2943" w:type="dxa"/>
            <w:noWrap/>
            <w:hideMark/>
          </w:tcPr>
          <w:p w:rsidR="00BE71BB" w:rsidRPr="00D53CF1" w:rsidRDefault="00BE71BB" w:rsidP="003C78F2">
            <w:r w:rsidRPr="00D53CF1">
              <w:rPr>
                <w:rFonts w:hint="eastAsia"/>
              </w:rPr>
              <w:t>南京银行上海分行</w:t>
            </w:r>
          </w:p>
        </w:tc>
        <w:tc>
          <w:tcPr>
            <w:tcW w:w="1417" w:type="dxa"/>
          </w:tcPr>
          <w:p w:rsidR="00BE71BB" w:rsidRPr="00D53CF1" w:rsidRDefault="00E907D2" w:rsidP="003C78F2">
            <w:r>
              <w:t>陈勇吉</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党建与企业文化赋能，推动上海国际金融中心建设</w:t>
            </w:r>
          </w:p>
        </w:tc>
        <w:tc>
          <w:tcPr>
            <w:tcW w:w="2943" w:type="dxa"/>
            <w:noWrap/>
            <w:hideMark/>
          </w:tcPr>
          <w:p w:rsidR="00BE71BB" w:rsidRPr="00D53CF1" w:rsidRDefault="00BE71BB" w:rsidP="003C78F2">
            <w:r w:rsidRPr="00D53CF1">
              <w:rPr>
                <w:rFonts w:hint="eastAsia"/>
              </w:rPr>
              <w:t>上海国际信托有限公司</w:t>
            </w:r>
          </w:p>
        </w:tc>
        <w:tc>
          <w:tcPr>
            <w:tcW w:w="1417" w:type="dxa"/>
          </w:tcPr>
          <w:p w:rsidR="00BE71BB" w:rsidRPr="00D53CF1" w:rsidRDefault="00E907D2" w:rsidP="003C78F2">
            <w:r w:rsidRPr="00E907D2">
              <w:rPr>
                <w:rFonts w:hint="eastAsia"/>
              </w:rPr>
              <w:t>吴旻浩</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人行零售支付系统发展因子灰色关联度分析</w:t>
            </w:r>
          </w:p>
        </w:tc>
        <w:tc>
          <w:tcPr>
            <w:tcW w:w="2943" w:type="dxa"/>
            <w:noWrap/>
            <w:hideMark/>
          </w:tcPr>
          <w:p w:rsidR="00BE71BB" w:rsidRPr="00D53CF1" w:rsidRDefault="00BE71BB" w:rsidP="003C78F2">
            <w:r w:rsidRPr="00D53CF1">
              <w:rPr>
                <w:rFonts w:hint="eastAsia"/>
              </w:rPr>
              <w:t>招商银行上海分行</w:t>
            </w:r>
          </w:p>
        </w:tc>
        <w:tc>
          <w:tcPr>
            <w:tcW w:w="1417" w:type="dxa"/>
          </w:tcPr>
          <w:p w:rsidR="00BE71BB" w:rsidRPr="00D53CF1" w:rsidRDefault="00F468C6" w:rsidP="003C78F2">
            <w:r w:rsidRPr="00F468C6">
              <w:rPr>
                <w:rFonts w:hint="eastAsia"/>
              </w:rPr>
              <w:t>余学骏</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不动产抵押登记不见面办理研究</w:t>
            </w:r>
          </w:p>
        </w:tc>
        <w:tc>
          <w:tcPr>
            <w:tcW w:w="2943" w:type="dxa"/>
            <w:noWrap/>
            <w:hideMark/>
          </w:tcPr>
          <w:p w:rsidR="00BE71BB" w:rsidRPr="00D53CF1" w:rsidRDefault="00BE71BB" w:rsidP="00545541">
            <w:r w:rsidRPr="00D53CF1">
              <w:rPr>
                <w:rFonts w:hint="eastAsia"/>
              </w:rPr>
              <w:t>中国建设银行上海市分行住房金融与个人信贷部</w:t>
            </w:r>
          </w:p>
        </w:tc>
        <w:tc>
          <w:tcPr>
            <w:tcW w:w="1417" w:type="dxa"/>
          </w:tcPr>
          <w:p w:rsidR="00BE71BB" w:rsidRPr="00D53CF1" w:rsidRDefault="008D6DA6" w:rsidP="00545541">
            <w:r w:rsidRPr="008D6DA6">
              <w:rPr>
                <w:rFonts w:hint="eastAsia"/>
              </w:rPr>
              <w:t>高沙</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建设在岸</w:t>
            </w:r>
            <w:r w:rsidRPr="00D53CF1">
              <w:rPr>
                <w:rFonts w:hint="eastAsia"/>
              </w:rPr>
              <w:t>/</w:t>
            </w:r>
            <w:r w:rsidRPr="00D53CF1">
              <w:rPr>
                <w:rFonts w:hint="eastAsia"/>
              </w:rPr>
              <w:t>离岸双向有条件渗透的内外分离型国际金融中心：上海目标</w:t>
            </w:r>
            <w:r w:rsidRPr="00D53CF1">
              <w:rPr>
                <w:rFonts w:hint="eastAsia"/>
              </w:rPr>
              <w:t>2035</w:t>
            </w:r>
          </w:p>
        </w:tc>
        <w:tc>
          <w:tcPr>
            <w:tcW w:w="2943" w:type="dxa"/>
            <w:noWrap/>
            <w:hideMark/>
          </w:tcPr>
          <w:p w:rsidR="00BE71BB" w:rsidRPr="00D53CF1" w:rsidRDefault="00BE71BB" w:rsidP="003C78F2">
            <w:r w:rsidRPr="00D53CF1">
              <w:rPr>
                <w:rFonts w:hint="eastAsia"/>
              </w:rPr>
              <w:t>兴业银行信用卡中心</w:t>
            </w:r>
          </w:p>
        </w:tc>
        <w:tc>
          <w:tcPr>
            <w:tcW w:w="1417" w:type="dxa"/>
          </w:tcPr>
          <w:p w:rsidR="00BE71BB" w:rsidRPr="00D53CF1" w:rsidRDefault="00B478D4" w:rsidP="003C78F2">
            <w:r w:rsidRPr="00B478D4">
              <w:rPr>
                <w:rFonts w:hint="eastAsia"/>
              </w:rPr>
              <w:t>胡浩</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金融科技（</w:t>
            </w:r>
            <w:r w:rsidRPr="00D53CF1">
              <w:rPr>
                <w:rFonts w:hint="eastAsia"/>
              </w:rPr>
              <w:t>Fintech</w:t>
            </w:r>
            <w:r w:rsidRPr="00D53CF1">
              <w:rPr>
                <w:rFonts w:hint="eastAsia"/>
              </w:rPr>
              <w:t>）发展与银行业合规风险防范的初步研究</w:t>
            </w:r>
          </w:p>
        </w:tc>
        <w:tc>
          <w:tcPr>
            <w:tcW w:w="2943" w:type="dxa"/>
            <w:noWrap/>
            <w:hideMark/>
          </w:tcPr>
          <w:p w:rsidR="00BE71BB" w:rsidRPr="00D53CF1" w:rsidRDefault="00BE71BB" w:rsidP="003C78F2">
            <w:r w:rsidRPr="00D53CF1">
              <w:rPr>
                <w:rFonts w:hint="eastAsia"/>
              </w:rPr>
              <w:t>上海银行同业公会</w:t>
            </w:r>
          </w:p>
        </w:tc>
        <w:tc>
          <w:tcPr>
            <w:tcW w:w="1417" w:type="dxa"/>
          </w:tcPr>
          <w:p w:rsidR="00BE71BB" w:rsidRPr="00D53CF1" w:rsidRDefault="00B62EB6" w:rsidP="003C78F2">
            <w:r>
              <w:t>杨冬晗</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上海农商银行供应链金融业务的创新模式研究</w:t>
            </w:r>
          </w:p>
        </w:tc>
        <w:tc>
          <w:tcPr>
            <w:tcW w:w="2943" w:type="dxa"/>
            <w:noWrap/>
            <w:hideMark/>
          </w:tcPr>
          <w:p w:rsidR="00BE71BB" w:rsidRPr="00D53CF1" w:rsidRDefault="00BE71BB" w:rsidP="003C78F2">
            <w:r w:rsidRPr="00D53CF1">
              <w:rPr>
                <w:rFonts w:hint="eastAsia"/>
              </w:rPr>
              <w:t>上海农商银行</w:t>
            </w:r>
          </w:p>
        </w:tc>
        <w:tc>
          <w:tcPr>
            <w:tcW w:w="1417" w:type="dxa"/>
          </w:tcPr>
          <w:p w:rsidR="00BE71BB" w:rsidRPr="00D53CF1" w:rsidRDefault="00B62EB6" w:rsidP="003C78F2">
            <w:r w:rsidRPr="00B62EB6">
              <w:rPr>
                <w:rFonts w:hint="eastAsia"/>
              </w:rPr>
              <w:t>余刚</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浦发银行成功发行</w:t>
            </w:r>
            <w:r w:rsidRPr="00D53CF1">
              <w:rPr>
                <w:rFonts w:hint="eastAsia"/>
              </w:rPr>
              <w:t>500</w:t>
            </w:r>
            <w:r w:rsidRPr="00D53CF1">
              <w:rPr>
                <w:rFonts w:hint="eastAsia"/>
              </w:rPr>
              <w:t>亿元可转换公司债券</w:t>
            </w:r>
          </w:p>
        </w:tc>
        <w:tc>
          <w:tcPr>
            <w:tcW w:w="2943" w:type="dxa"/>
            <w:noWrap/>
            <w:hideMark/>
          </w:tcPr>
          <w:p w:rsidR="00BE71BB" w:rsidRPr="00D53CF1" w:rsidRDefault="00BE71BB" w:rsidP="003C78F2">
            <w:r w:rsidRPr="00D53CF1">
              <w:rPr>
                <w:rFonts w:hint="eastAsia"/>
              </w:rPr>
              <w:t>上海浦东发展银行</w:t>
            </w:r>
          </w:p>
        </w:tc>
        <w:tc>
          <w:tcPr>
            <w:tcW w:w="1417" w:type="dxa"/>
          </w:tcPr>
          <w:p w:rsidR="00BE71BB" w:rsidRPr="00D53CF1" w:rsidRDefault="00B62EB6" w:rsidP="003C78F2">
            <w:r w:rsidRPr="00B62EB6">
              <w:rPr>
                <w:rFonts w:hint="eastAsia"/>
              </w:rPr>
              <w:t>郑杨</w:t>
            </w:r>
          </w:p>
        </w:tc>
      </w:tr>
      <w:tr w:rsidR="00BE71BB" w:rsidRPr="00D53CF1" w:rsidTr="008D6DA6">
        <w:trPr>
          <w:trHeight w:val="270"/>
        </w:trPr>
        <w:tc>
          <w:tcPr>
            <w:tcW w:w="4253" w:type="dxa"/>
            <w:noWrap/>
            <w:hideMark/>
          </w:tcPr>
          <w:p w:rsidR="00BE71BB" w:rsidRPr="00D53CF1" w:rsidRDefault="00BE71BB" w:rsidP="003C78F2">
            <w:r w:rsidRPr="00D53CF1">
              <w:rPr>
                <w:rFonts w:hint="eastAsia"/>
              </w:rPr>
              <w:t>表单数字化智能识别专案</w:t>
            </w:r>
          </w:p>
        </w:tc>
        <w:tc>
          <w:tcPr>
            <w:tcW w:w="2943" w:type="dxa"/>
            <w:noWrap/>
            <w:hideMark/>
          </w:tcPr>
          <w:p w:rsidR="00BE71BB" w:rsidRPr="00D53CF1" w:rsidRDefault="00BE71BB" w:rsidP="003C78F2">
            <w:r w:rsidRPr="00D53CF1">
              <w:rPr>
                <w:rFonts w:hint="eastAsia"/>
              </w:rPr>
              <w:t>富邦华一银行有限公司</w:t>
            </w:r>
          </w:p>
        </w:tc>
        <w:tc>
          <w:tcPr>
            <w:tcW w:w="1417" w:type="dxa"/>
          </w:tcPr>
          <w:p w:rsidR="00BE71BB" w:rsidRPr="00D53CF1" w:rsidRDefault="00B62EB6" w:rsidP="003C78F2">
            <w:r>
              <w:t>韩光祖</w:t>
            </w:r>
          </w:p>
        </w:tc>
      </w:tr>
    </w:tbl>
    <w:p w:rsidR="00D66EDC" w:rsidRDefault="00D66EDC" w:rsidP="00093149">
      <w:pPr>
        <w:jc w:val="center"/>
        <w:rPr>
          <w:b/>
          <w:sz w:val="36"/>
        </w:rPr>
      </w:pPr>
    </w:p>
    <w:p w:rsidR="00D66EDC" w:rsidRPr="00851BF9" w:rsidRDefault="00D66EDC" w:rsidP="00D66EDC">
      <w:pPr>
        <w:jc w:val="left"/>
        <w:rPr>
          <w:b/>
          <w:sz w:val="32"/>
          <w:szCs w:val="32"/>
        </w:rPr>
      </w:pPr>
      <w:r w:rsidRPr="00851BF9">
        <w:rPr>
          <w:rFonts w:hint="eastAsia"/>
          <w:b/>
          <w:sz w:val="32"/>
          <w:szCs w:val="32"/>
        </w:rPr>
        <w:t>证券期货组</w:t>
      </w:r>
    </w:p>
    <w:tbl>
      <w:tblPr>
        <w:tblStyle w:val="a5"/>
        <w:tblW w:w="8491" w:type="dxa"/>
        <w:tblLook w:val="04A0"/>
      </w:tblPr>
      <w:tblGrid>
        <w:gridCol w:w="4844"/>
        <w:gridCol w:w="2371"/>
        <w:gridCol w:w="1276"/>
      </w:tblGrid>
      <w:tr w:rsidR="00BE71BB" w:rsidRPr="00D16771" w:rsidTr="00133F0C">
        <w:trPr>
          <w:trHeight w:val="381"/>
        </w:trPr>
        <w:tc>
          <w:tcPr>
            <w:tcW w:w="4844" w:type="dxa"/>
            <w:noWrap/>
            <w:hideMark/>
          </w:tcPr>
          <w:p w:rsidR="00BE71BB" w:rsidRPr="003C78F2" w:rsidRDefault="00BE71BB" w:rsidP="003C78F2">
            <w:pPr>
              <w:rPr>
                <w:b/>
              </w:rPr>
            </w:pPr>
            <w:r w:rsidRPr="000F30DA">
              <w:rPr>
                <w:rFonts w:hint="eastAsia"/>
                <w:b/>
              </w:rPr>
              <w:t>获奖成果名称</w:t>
            </w:r>
          </w:p>
        </w:tc>
        <w:tc>
          <w:tcPr>
            <w:tcW w:w="2371" w:type="dxa"/>
            <w:noWrap/>
            <w:hideMark/>
          </w:tcPr>
          <w:p w:rsidR="00BE71BB" w:rsidRPr="003C78F2" w:rsidRDefault="00BE71BB" w:rsidP="003C78F2">
            <w:pPr>
              <w:rPr>
                <w:b/>
              </w:rPr>
            </w:pPr>
            <w:r w:rsidRPr="003C78F2">
              <w:rPr>
                <w:rFonts w:hint="eastAsia"/>
                <w:b/>
              </w:rPr>
              <w:t>申报单位</w:t>
            </w:r>
          </w:p>
        </w:tc>
        <w:tc>
          <w:tcPr>
            <w:tcW w:w="1276" w:type="dxa"/>
          </w:tcPr>
          <w:p w:rsidR="00BE71BB" w:rsidRDefault="00BE71BB" w:rsidP="003C78F2">
            <w:r w:rsidRPr="000F30DA">
              <w:rPr>
                <w:rFonts w:hint="eastAsia"/>
                <w:b/>
              </w:rPr>
              <w:t>项目负责人</w:t>
            </w:r>
          </w:p>
        </w:tc>
      </w:tr>
      <w:tr w:rsidR="00BE71BB" w:rsidRPr="00D16771" w:rsidTr="00BE71BB">
        <w:trPr>
          <w:trHeight w:val="270"/>
        </w:trPr>
        <w:tc>
          <w:tcPr>
            <w:tcW w:w="4844" w:type="dxa"/>
            <w:noWrap/>
            <w:hideMark/>
          </w:tcPr>
          <w:p w:rsidR="00BE71BB" w:rsidRPr="00D16771" w:rsidRDefault="00BE71BB" w:rsidP="003C78F2">
            <w:r w:rsidRPr="00D16771">
              <w:rPr>
                <w:rFonts w:hint="eastAsia"/>
              </w:rPr>
              <w:t>不同约束环境下的股指期货市场运行质量分析</w:t>
            </w:r>
          </w:p>
        </w:tc>
        <w:tc>
          <w:tcPr>
            <w:tcW w:w="2371" w:type="dxa"/>
            <w:noWrap/>
            <w:hideMark/>
          </w:tcPr>
          <w:p w:rsidR="00BE71BB" w:rsidRPr="00D16771" w:rsidRDefault="00BE71BB" w:rsidP="003C78F2">
            <w:r w:rsidRPr="00D16771">
              <w:rPr>
                <w:rFonts w:hint="eastAsia"/>
              </w:rPr>
              <w:t>国泰君安期货有限公司</w:t>
            </w:r>
          </w:p>
        </w:tc>
        <w:tc>
          <w:tcPr>
            <w:tcW w:w="1276" w:type="dxa"/>
          </w:tcPr>
          <w:p w:rsidR="00BE71BB" w:rsidRPr="00481E8A" w:rsidRDefault="00BE71BB" w:rsidP="003C78F2">
            <w:pPr>
              <w:rPr>
                <w:rFonts w:asciiTheme="minorEastAsia" w:hAnsiTheme="minorEastAsia"/>
                <w:szCs w:val="21"/>
              </w:rPr>
            </w:pPr>
            <w:r w:rsidRPr="00481E8A">
              <w:rPr>
                <w:rFonts w:asciiTheme="minorEastAsia" w:hAnsiTheme="minorEastAsia" w:cs="Times New Roman" w:hint="eastAsia"/>
                <w:szCs w:val="21"/>
              </w:rPr>
              <w:t>虞堪</w:t>
            </w:r>
          </w:p>
        </w:tc>
      </w:tr>
      <w:tr w:rsidR="00BE71BB" w:rsidRPr="00D16771" w:rsidTr="00BE71BB">
        <w:trPr>
          <w:trHeight w:val="270"/>
        </w:trPr>
        <w:tc>
          <w:tcPr>
            <w:tcW w:w="4844" w:type="dxa"/>
            <w:noWrap/>
            <w:hideMark/>
          </w:tcPr>
          <w:p w:rsidR="00BE71BB" w:rsidRDefault="00BE71BB" w:rsidP="003C78F2">
            <w:r>
              <w:rPr>
                <w:rFonts w:hint="eastAsia"/>
              </w:rPr>
              <w:t>关于推动证券公司规范数据治理、建设数据生态的</w:t>
            </w:r>
          </w:p>
          <w:p w:rsidR="00BE71BB" w:rsidRPr="00D16771" w:rsidRDefault="00BE71BB" w:rsidP="003C78F2">
            <w:r>
              <w:rPr>
                <w:rFonts w:hint="eastAsia"/>
              </w:rPr>
              <w:t>研究报告</w:t>
            </w:r>
          </w:p>
        </w:tc>
        <w:tc>
          <w:tcPr>
            <w:tcW w:w="2371" w:type="dxa"/>
            <w:noWrap/>
            <w:hideMark/>
          </w:tcPr>
          <w:p w:rsidR="00BE71BB" w:rsidRPr="00D16771" w:rsidRDefault="00BE71BB" w:rsidP="003C78F2">
            <w:r w:rsidRPr="00D16771">
              <w:rPr>
                <w:rFonts w:hint="eastAsia"/>
              </w:rPr>
              <w:t>国泰君安证券股份有限公司</w:t>
            </w:r>
          </w:p>
        </w:tc>
        <w:tc>
          <w:tcPr>
            <w:tcW w:w="1276" w:type="dxa"/>
          </w:tcPr>
          <w:p w:rsidR="00BE71BB" w:rsidRPr="00481E8A" w:rsidRDefault="00BE71BB" w:rsidP="003C78F2">
            <w:pPr>
              <w:rPr>
                <w:rFonts w:asciiTheme="minorEastAsia" w:hAnsiTheme="minorEastAsia"/>
                <w:szCs w:val="21"/>
              </w:rPr>
            </w:pPr>
            <w:r w:rsidRPr="00481E8A">
              <w:rPr>
                <w:rFonts w:asciiTheme="minorEastAsia" w:hAnsiTheme="minorEastAsia" w:hint="eastAsia"/>
                <w:szCs w:val="21"/>
              </w:rPr>
              <w:t>俞枫</w:t>
            </w:r>
          </w:p>
        </w:tc>
      </w:tr>
      <w:tr w:rsidR="00BE71BB" w:rsidRPr="00D16771" w:rsidTr="00BE71BB">
        <w:trPr>
          <w:trHeight w:val="270"/>
        </w:trPr>
        <w:tc>
          <w:tcPr>
            <w:tcW w:w="4844" w:type="dxa"/>
            <w:noWrap/>
            <w:hideMark/>
          </w:tcPr>
          <w:p w:rsidR="00BE71BB" w:rsidRPr="00D16771" w:rsidRDefault="00BE71BB" w:rsidP="003C78F2">
            <w:r w:rsidRPr="00D16771">
              <w:rPr>
                <w:rFonts w:hint="eastAsia"/>
              </w:rPr>
              <w:t>中国投资银行集团管控与一体化发展模式研究</w:t>
            </w:r>
          </w:p>
        </w:tc>
        <w:tc>
          <w:tcPr>
            <w:tcW w:w="2371" w:type="dxa"/>
            <w:noWrap/>
            <w:hideMark/>
          </w:tcPr>
          <w:p w:rsidR="00BE71BB" w:rsidRPr="00D16771" w:rsidRDefault="00BE71BB" w:rsidP="003C78F2">
            <w:r w:rsidRPr="00D16771">
              <w:rPr>
                <w:rFonts w:hint="eastAsia"/>
              </w:rPr>
              <w:t>海通证券</w:t>
            </w:r>
          </w:p>
        </w:tc>
        <w:tc>
          <w:tcPr>
            <w:tcW w:w="1276" w:type="dxa"/>
          </w:tcPr>
          <w:p w:rsidR="00BE71BB" w:rsidRPr="00481E8A" w:rsidRDefault="00BE71BB" w:rsidP="003C78F2">
            <w:pPr>
              <w:rPr>
                <w:rFonts w:asciiTheme="minorEastAsia" w:hAnsiTheme="minorEastAsia"/>
                <w:szCs w:val="21"/>
              </w:rPr>
            </w:pPr>
            <w:r w:rsidRPr="00481E8A">
              <w:rPr>
                <w:rFonts w:asciiTheme="minorEastAsia" w:hAnsiTheme="minorEastAsia" w:cs="宋体" w:hint="eastAsia"/>
                <w:szCs w:val="21"/>
              </w:rPr>
              <w:t>吴淑琨</w:t>
            </w:r>
          </w:p>
        </w:tc>
      </w:tr>
      <w:tr w:rsidR="00BE71BB" w:rsidRPr="00D16771" w:rsidTr="00BE71BB">
        <w:trPr>
          <w:trHeight w:val="270"/>
        </w:trPr>
        <w:tc>
          <w:tcPr>
            <w:tcW w:w="4844" w:type="dxa"/>
            <w:noWrap/>
            <w:hideMark/>
          </w:tcPr>
          <w:p w:rsidR="00BE71BB" w:rsidRPr="00D16771" w:rsidRDefault="00BE71BB" w:rsidP="003C78F2">
            <w:r w:rsidRPr="00D16771">
              <w:rPr>
                <w:rFonts w:hint="eastAsia"/>
              </w:rPr>
              <w:t>论市场流动性对股指期货定价权之影响</w:t>
            </w:r>
          </w:p>
        </w:tc>
        <w:tc>
          <w:tcPr>
            <w:tcW w:w="2371" w:type="dxa"/>
            <w:noWrap/>
            <w:hideMark/>
          </w:tcPr>
          <w:p w:rsidR="00BE71BB" w:rsidRPr="00D16771" w:rsidRDefault="00BE71BB" w:rsidP="003C78F2">
            <w:r w:rsidRPr="00D16771">
              <w:rPr>
                <w:rFonts w:hint="eastAsia"/>
              </w:rPr>
              <w:t>国泰君安期货有限公司</w:t>
            </w:r>
          </w:p>
        </w:tc>
        <w:tc>
          <w:tcPr>
            <w:tcW w:w="1276" w:type="dxa"/>
          </w:tcPr>
          <w:p w:rsidR="00BE71BB" w:rsidRPr="000E4FCB" w:rsidRDefault="00BE71BB" w:rsidP="003C78F2">
            <w:pPr>
              <w:rPr>
                <w:rFonts w:asciiTheme="minorEastAsia" w:hAnsiTheme="minorEastAsia"/>
                <w:szCs w:val="21"/>
              </w:rPr>
            </w:pPr>
            <w:r w:rsidRPr="000E4FCB">
              <w:rPr>
                <w:rFonts w:asciiTheme="minorEastAsia" w:hAnsiTheme="minorEastAsia" w:cs="Times New Roman" w:hint="eastAsia"/>
                <w:szCs w:val="21"/>
              </w:rPr>
              <w:t>吴泱</w:t>
            </w:r>
          </w:p>
        </w:tc>
      </w:tr>
      <w:tr w:rsidR="00BE71BB" w:rsidRPr="00D16771" w:rsidTr="00BE71BB">
        <w:trPr>
          <w:trHeight w:val="270"/>
        </w:trPr>
        <w:tc>
          <w:tcPr>
            <w:tcW w:w="4844" w:type="dxa"/>
            <w:noWrap/>
            <w:hideMark/>
          </w:tcPr>
          <w:p w:rsidR="00BE71BB" w:rsidRPr="00D16771" w:rsidRDefault="00BE71BB" w:rsidP="003C78F2">
            <w:r w:rsidRPr="00D16771">
              <w:rPr>
                <w:rFonts w:hint="eastAsia"/>
              </w:rPr>
              <w:t>中国商品期货市场基差波动影响因素研究</w:t>
            </w:r>
            <w:r w:rsidR="00133F0C">
              <w:rPr>
                <w:rFonts w:hint="eastAsia"/>
              </w:rPr>
              <w:t>—</w:t>
            </w:r>
            <w:r w:rsidRPr="00D16771">
              <w:rPr>
                <w:rFonts w:hint="eastAsia"/>
              </w:rPr>
              <w:t>以螺纹钢为例</w:t>
            </w:r>
          </w:p>
        </w:tc>
        <w:tc>
          <w:tcPr>
            <w:tcW w:w="2371" w:type="dxa"/>
            <w:noWrap/>
            <w:hideMark/>
          </w:tcPr>
          <w:p w:rsidR="00BE71BB" w:rsidRPr="00D16771" w:rsidRDefault="00BE71BB" w:rsidP="003C78F2">
            <w:r w:rsidRPr="00D16771">
              <w:rPr>
                <w:rFonts w:hint="eastAsia"/>
              </w:rPr>
              <w:t>光大光子投资管理有限公司</w:t>
            </w:r>
          </w:p>
        </w:tc>
        <w:tc>
          <w:tcPr>
            <w:tcW w:w="1276" w:type="dxa"/>
          </w:tcPr>
          <w:p w:rsidR="00BE71BB" w:rsidRPr="000E4FCB" w:rsidRDefault="00BE71BB" w:rsidP="003C78F2">
            <w:pPr>
              <w:rPr>
                <w:rFonts w:asciiTheme="minorEastAsia" w:hAnsiTheme="minorEastAsia"/>
                <w:szCs w:val="21"/>
              </w:rPr>
            </w:pPr>
            <w:r w:rsidRPr="000E4FCB">
              <w:rPr>
                <w:rFonts w:asciiTheme="minorEastAsia" w:hAnsiTheme="minorEastAsia" w:hint="eastAsia"/>
                <w:szCs w:val="21"/>
              </w:rPr>
              <w:t>唐雪琴</w:t>
            </w:r>
          </w:p>
        </w:tc>
      </w:tr>
      <w:tr w:rsidR="00BE71BB" w:rsidRPr="00D16771" w:rsidTr="00BE71BB">
        <w:trPr>
          <w:trHeight w:val="270"/>
        </w:trPr>
        <w:tc>
          <w:tcPr>
            <w:tcW w:w="4844" w:type="dxa"/>
            <w:noWrap/>
            <w:hideMark/>
          </w:tcPr>
          <w:p w:rsidR="00BE71BB" w:rsidRPr="00D16771" w:rsidRDefault="00BE71BB" w:rsidP="003C78F2">
            <w:r w:rsidRPr="00D16771">
              <w:rPr>
                <w:rFonts w:hint="eastAsia"/>
              </w:rPr>
              <w:t>国债期货上市对健全国债收益率曲线的实证研究</w:t>
            </w:r>
          </w:p>
        </w:tc>
        <w:tc>
          <w:tcPr>
            <w:tcW w:w="2371" w:type="dxa"/>
            <w:noWrap/>
            <w:hideMark/>
          </w:tcPr>
          <w:p w:rsidR="00BE71BB" w:rsidRPr="00D16771" w:rsidRDefault="00BE71BB" w:rsidP="003C78F2">
            <w:r w:rsidRPr="00D16771">
              <w:rPr>
                <w:rFonts w:hint="eastAsia"/>
              </w:rPr>
              <w:t>申银万国期货有限公司</w:t>
            </w:r>
          </w:p>
        </w:tc>
        <w:tc>
          <w:tcPr>
            <w:tcW w:w="1276" w:type="dxa"/>
          </w:tcPr>
          <w:p w:rsidR="00BE71BB" w:rsidRPr="00D16771" w:rsidRDefault="00264326" w:rsidP="003C78F2">
            <w:r w:rsidRPr="00264326">
              <w:rPr>
                <w:rFonts w:hint="eastAsia"/>
              </w:rPr>
              <w:t>唐广华</w:t>
            </w:r>
          </w:p>
        </w:tc>
      </w:tr>
      <w:tr w:rsidR="00BE71BB" w:rsidRPr="00D16771" w:rsidTr="00BE71BB">
        <w:trPr>
          <w:trHeight w:val="270"/>
        </w:trPr>
        <w:tc>
          <w:tcPr>
            <w:tcW w:w="4844" w:type="dxa"/>
            <w:noWrap/>
            <w:hideMark/>
          </w:tcPr>
          <w:p w:rsidR="00BE71BB" w:rsidRPr="00D16771" w:rsidRDefault="00BE71BB" w:rsidP="003C78F2">
            <w:r w:rsidRPr="00D16771">
              <w:rPr>
                <w:rFonts w:hint="eastAsia"/>
              </w:rPr>
              <w:t>科创板市场试点注册制研究</w:t>
            </w:r>
          </w:p>
        </w:tc>
        <w:tc>
          <w:tcPr>
            <w:tcW w:w="2371" w:type="dxa"/>
            <w:noWrap/>
            <w:hideMark/>
          </w:tcPr>
          <w:p w:rsidR="00BE71BB" w:rsidRPr="00D16771" w:rsidRDefault="00BE71BB" w:rsidP="003C78F2">
            <w:r w:rsidRPr="00D16771">
              <w:rPr>
                <w:rFonts w:hint="eastAsia"/>
              </w:rPr>
              <w:t>海通证券</w:t>
            </w:r>
          </w:p>
        </w:tc>
        <w:tc>
          <w:tcPr>
            <w:tcW w:w="1276" w:type="dxa"/>
          </w:tcPr>
          <w:p w:rsidR="00BE71BB" w:rsidRPr="000E4FCB" w:rsidRDefault="00BE71BB" w:rsidP="003C78F2">
            <w:pPr>
              <w:rPr>
                <w:rFonts w:asciiTheme="minorEastAsia" w:hAnsiTheme="minorEastAsia"/>
                <w:szCs w:val="21"/>
              </w:rPr>
            </w:pPr>
            <w:r w:rsidRPr="000E4FCB">
              <w:rPr>
                <w:rFonts w:asciiTheme="minorEastAsia" w:hAnsiTheme="minorEastAsia" w:cs="黑体" w:hint="eastAsia"/>
                <w:bCs/>
                <w:szCs w:val="21"/>
              </w:rPr>
              <w:t>周洪荣</w:t>
            </w:r>
          </w:p>
        </w:tc>
      </w:tr>
      <w:tr w:rsidR="00BE71BB" w:rsidRPr="00D16771" w:rsidTr="00133F0C">
        <w:trPr>
          <w:trHeight w:val="371"/>
        </w:trPr>
        <w:tc>
          <w:tcPr>
            <w:tcW w:w="4844" w:type="dxa"/>
            <w:noWrap/>
            <w:hideMark/>
          </w:tcPr>
          <w:p w:rsidR="00BE71BB" w:rsidRPr="00D16771" w:rsidRDefault="00BE71BB" w:rsidP="003C78F2">
            <w:r w:rsidRPr="00D16771">
              <w:rPr>
                <w:rFonts w:hint="eastAsia"/>
              </w:rPr>
              <w:t>提升期货经营机构跨境服务能力</w:t>
            </w:r>
          </w:p>
        </w:tc>
        <w:tc>
          <w:tcPr>
            <w:tcW w:w="2371" w:type="dxa"/>
            <w:noWrap/>
            <w:hideMark/>
          </w:tcPr>
          <w:p w:rsidR="00BE71BB" w:rsidRPr="00D16771" w:rsidRDefault="00BE71BB" w:rsidP="003C78F2">
            <w:r w:rsidRPr="00D16771">
              <w:rPr>
                <w:rFonts w:hint="eastAsia"/>
              </w:rPr>
              <w:t>申银万国期货有限公司</w:t>
            </w:r>
          </w:p>
        </w:tc>
        <w:tc>
          <w:tcPr>
            <w:tcW w:w="1276" w:type="dxa"/>
          </w:tcPr>
          <w:p w:rsidR="00BE71BB" w:rsidRDefault="00BE71BB" w:rsidP="000E4FCB">
            <w:pPr>
              <w:pStyle w:val="Default"/>
            </w:pPr>
          </w:p>
          <w:tbl>
            <w:tblPr>
              <w:tblW w:w="0" w:type="auto"/>
              <w:tblBorders>
                <w:top w:val="nil"/>
                <w:left w:val="nil"/>
                <w:bottom w:val="nil"/>
                <w:right w:val="nil"/>
              </w:tblBorders>
              <w:tblLook w:val="0000"/>
            </w:tblPr>
            <w:tblGrid>
              <w:gridCol w:w="846"/>
            </w:tblGrid>
            <w:tr w:rsidR="00BE71BB">
              <w:trPr>
                <w:trHeight w:val="159"/>
              </w:trPr>
              <w:tc>
                <w:tcPr>
                  <w:tcW w:w="0" w:type="auto"/>
                </w:tcPr>
                <w:p w:rsidR="00BE71BB" w:rsidRPr="000E4FCB" w:rsidRDefault="00BE71BB">
                  <w:pPr>
                    <w:pStyle w:val="Default"/>
                    <w:rPr>
                      <w:rFonts w:asciiTheme="minorEastAsia" w:eastAsiaTheme="minorEastAsia" w:hAnsiTheme="minorEastAsia"/>
                      <w:sz w:val="21"/>
                      <w:szCs w:val="21"/>
                    </w:rPr>
                  </w:pPr>
                  <w:r w:rsidRPr="000E4FCB">
                    <w:rPr>
                      <w:rFonts w:asciiTheme="minorEastAsia" w:eastAsiaTheme="minorEastAsia" w:hAnsiTheme="minorEastAsia" w:hint="eastAsia"/>
                      <w:sz w:val="21"/>
                      <w:szCs w:val="21"/>
                    </w:rPr>
                    <w:t>袁万勇</w:t>
                  </w:r>
                  <w:r w:rsidRPr="000E4FCB">
                    <w:rPr>
                      <w:rFonts w:asciiTheme="minorEastAsia" w:eastAsiaTheme="minorEastAsia" w:hAnsiTheme="minorEastAsia"/>
                      <w:sz w:val="21"/>
                      <w:szCs w:val="21"/>
                    </w:rPr>
                    <w:t xml:space="preserve"> </w:t>
                  </w:r>
                </w:p>
              </w:tc>
            </w:tr>
          </w:tbl>
          <w:p w:rsidR="00BE71BB" w:rsidRPr="00D16771" w:rsidRDefault="00BE71BB" w:rsidP="003C78F2"/>
        </w:tc>
      </w:tr>
      <w:tr w:rsidR="00BE71BB" w:rsidRPr="00D16771" w:rsidTr="00BE71BB">
        <w:trPr>
          <w:trHeight w:val="270"/>
        </w:trPr>
        <w:tc>
          <w:tcPr>
            <w:tcW w:w="4844" w:type="dxa"/>
            <w:noWrap/>
            <w:hideMark/>
          </w:tcPr>
          <w:p w:rsidR="00BE71BB" w:rsidRPr="00D16771" w:rsidRDefault="00BE71BB" w:rsidP="003C78F2">
            <w:r w:rsidRPr="00D16771">
              <w:rPr>
                <w:rFonts w:hint="eastAsia"/>
              </w:rPr>
              <w:t>基金公司支持科创板发展路径初探</w:t>
            </w:r>
          </w:p>
        </w:tc>
        <w:tc>
          <w:tcPr>
            <w:tcW w:w="2371" w:type="dxa"/>
            <w:noWrap/>
            <w:hideMark/>
          </w:tcPr>
          <w:p w:rsidR="00BE71BB" w:rsidRPr="00D16771" w:rsidRDefault="00BE71BB" w:rsidP="003C78F2">
            <w:r w:rsidRPr="00D16771">
              <w:rPr>
                <w:rFonts w:hint="eastAsia"/>
              </w:rPr>
              <w:t>富国基金管理有限公司</w:t>
            </w:r>
          </w:p>
        </w:tc>
        <w:tc>
          <w:tcPr>
            <w:tcW w:w="1276" w:type="dxa"/>
          </w:tcPr>
          <w:p w:rsidR="00BE71BB" w:rsidRPr="000E4FCB" w:rsidRDefault="00BE71BB" w:rsidP="003C78F2">
            <w:pPr>
              <w:rPr>
                <w:rFonts w:asciiTheme="minorEastAsia" w:hAnsiTheme="minorEastAsia"/>
                <w:szCs w:val="21"/>
              </w:rPr>
            </w:pPr>
            <w:r w:rsidRPr="000E4FCB">
              <w:rPr>
                <w:rFonts w:asciiTheme="minorEastAsia" w:hAnsiTheme="minorEastAsia" w:cs="Times New Roman" w:hint="eastAsia"/>
                <w:szCs w:val="21"/>
              </w:rPr>
              <w:t>古晓慧</w:t>
            </w:r>
          </w:p>
        </w:tc>
      </w:tr>
      <w:tr w:rsidR="00BE71BB" w:rsidRPr="00D16771" w:rsidTr="00BE71BB">
        <w:trPr>
          <w:trHeight w:val="270"/>
        </w:trPr>
        <w:tc>
          <w:tcPr>
            <w:tcW w:w="4844" w:type="dxa"/>
            <w:noWrap/>
            <w:hideMark/>
          </w:tcPr>
          <w:p w:rsidR="00BE71BB" w:rsidRPr="00D16771" w:rsidRDefault="00BE71BB" w:rsidP="003C78F2">
            <w:r w:rsidRPr="00D16771">
              <w:rPr>
                <w:rFonts w:hint="eastAsia"/>
              </w:rPr>
              <w:lastRenderedPageBreak/>
              <w:t>利用钢材期货服务民营、中小微企业的实证研究</w:t>
            </w:r>
          </w:p>
        </w:tc>
        <w:tc>
          <w:tcPr>
            <w:tcW w:w="2371" w:type="dxa"/>
            <w:noWrap/>
            <w:hideMark/>
          </w:tcPr>
          <w:p w:rsidR="00BE71BB" w:rsidRPr="00D16771" w:rsidRDefault="00BE71BB" w:rsidP="003C78F2">
            <w:r w:rsidRPr="00D16771">
              <w:rPr>
                <w:rFonts w:hint="eastAsia"/>
              </w:rPr>
              <w:t>东吴期货有限公司</w:t>
            </w:r>
          </w:p>
        </w:tc>
        <w:tc>
          <w:tcPr>
            <w:tcW w:w="1276" w:type="dxa"/>
          </w:tcPr>
          <w:p w:rsidR="00BE71BB" w:rsidRPr="00D82461" w:rsidRDefault="00BE71BB" w:rsidP="003C78F2">
            <w:pPr>
              <w:rPr>
                <w:szCs w:val="21"/>
              </w:rPr>
            </w:pPr>
            <w:r w:rsidRPr="00D82461">
              <w:rPr>
                <w:rFonts w:ascii="Arial" w:hAnsi="Arial" w:cs="Arial" w:hint="eastAsia"/>
                <w:szCs w:val="21"/>
                <w:shd w:val="clear" w:color="auto" w:fill="FFFFFF"/>
              </w:rPr>
              <w:t>姜兴春</w:t>
            </w:r>
          </w:p>
        </w:tc>
      </w:tr>
      <w:tr w:rsidR="00BE71BB" w:rsidRPr="00D16771" w:rsidTr="00BE71BB">
        <w:trPr>
          <w:trHeight w:val="270"/>
        </w:trPr>
        <w:tc>
          <w:tcPr>
            <w:tcW w:w="4844" w:type="dxa"/>
            <w:noWrap/>
            <w:hideMark/>
          </w:tcPr>
          <w:p w:rsidR="00BE71BB" w:rsidRPr="00D16771" w:rsidRDefault="00BE71BB" w:rsidP="003C78F2">
            <w:r w:rsidRPr="00D16771">
              <w:rPr>
                <w:rFonts w:hint="eastAsia"/>
              </w:rPr>
              <w:t>河钢</w:t>
            </w:r>
            <w:r w:rsidR="00133F0C">
              <w:rPr>
                <w:rFonts w:hint="eastAsia"/>
              </w:rPr>
              <w:t>-</w:t>
            </w:r>
            <w:r w:rsidRPr="00D16771">
              <w:rPr>
                <w:rFonts w:hint="eastAsia"/>
              </w:rPr>
              <w:t>淡水河谷铁矿石基差贸易试点项目</w:t>
            </w:r>
          </w:p>
        </w:tc>
        <w:tc>
          <w:tcPr>
            <w:tcW w:w="2371" w:type="dxa"/>
            <w:noWrap/>
            <w:hideMark/>
          </w:tcPr>
          <w:p w:rsidR="00BE71BB" w:rsidRPr="00D16771" w:rsidRDefault="00BE71BB" w:rsidP="003C78F2">
            <w:r w:rsidRPr="00D16771">
              <w:rPr>
                <w:rFonts w:hint="eastAsia"/>
              </w:rPr>
              <w:t>国信期货有限责任公司</w:t>
            </w:r>
          </w:p>
        </w:tc>
        <w:tc>
          <w:tcPr>
            <w:tcW w:w="1276" w:type="dxa"/>
          </w:tcPr>
          <w:p w:rsidR="00BE71BB" w:rsidRPr="000E4FCB" w:rsidRDefault="00BE71BB" w:rsidP="000E4FCB">
            <w:pPr>
              <w:autoSpaceDE w:val="0"/>
              <w:autoSpaceDN w:val="0"/>
              <w:adjustRightInd w:val="0"/>
              <w:jc w:val="left"/>
              <w:rPr>
                <w:rFonts w:asciiTheme="minorEastAsia" w:hAnsiTheme="minorEastAsia" w:cs="DengXian"/>
                <w:color w:val="000000"/>
                <w:kern w:val="0"/>
                <w:szCs w:val="21"/>
              </w:rPr>
            </w:pPr>
            <w:r w:rsidRPr="000E4FCB">
              <w:rPr>
                <w:rFonts w:asciiTheme="minorEastAsia" w:hAnsiTheme="minorEastAsia" w:cs="DengXian" w:hint="eastAsia"/>
                <w:color w:val="000000"/>
                <w:kern w:val="0"/>
                <w:szCs w:val="21"/>
              </w:rPr>
              <w:t>余晓东</w:t>
            </w:r>
          </w:p>
          <w:p w:rsidR="00BE71BB" w:rsidRPr="00D16771" w:rsidRDefault="00BE71BB" w:rsidP="000E4FCB"/>
        </w:tc>
      </w:tr>
      <w:tr w:rsidR="00BE71BB" w:rsidRPr="00D16771" w:rsidTr="00BE71BB">
        <w:trPr>
          <w:trHeight w:val="270"/>
        </w:trPr>
        <w:tc>
          <w:tcPr>
            <w:tcW w:w="4844" w:type="dxa"/>
            <w:noWrap/>
            <w:hideMark/>
          </w:tcPr>
          <w:p w:rsidR="00BE71BB" w:rsidRPr="00D16771" w:rsidRDefault="00BE71BB" w:rsidP="00133F0C">
            <w:r w:rsidRPr="00D16771">
              <w:rPr>
                <w:rFonts w:hint="eastAsia"/>
              </w:rPr>
              <w:t>投入产出关联对资源错配损失效应的放大机理及实证—基于中国投入产出表的分析</w:t>
            </w:r>
          </w:p>
        </w:tc>
        <w:tc>
          <w:tcPr>
            <w:tcW w:w="2371" w:type="dxa"/>
            <w:noWrap/>
            <w:hideMark/>
          </w:tcPr>
          <w:p w:rsidR="00BE71BB" w:rsidRPr="00D16771" w:rsidRDefault="00BE71BB" w:rsidP="003C78F2">
            <w:r w:rsidRPr="00D16771">
              <w:rPr>
                <w:rFonts w:hint="eastAsia"/>
              </w:rPr>
              <w:t>海通证券</w:t>
            </w:r>
          </w:p>
        </w:tc>
        <w:tc>
          <w:tcPr>
            <w:tcW w:w="1276" w:type="dxa"/>
          </w:tcPr>
          <w:p w:rsidR="00BE71BB" w:rsidRPr="00D82461" w:rsidRDefault="00BE71BB" w:rsidP="003C78F2">
            <w:pPr>
              <w:rPr>
                <w:rFonts w:asciiTheme="minorEastAsia" w:hAnsiTheme="minorEastAsia"/>
                <w:szCs w:val="21"/>
              </w:rPr>
            </w:pPr>
            <w:r w:rsidRPr="00D82461">
              <w:rPr>
                <w:rFonts w:asciiTheme="minorEastAsia" w:hAnsiTheme="minorEastAsia" w:hint="eastAsia"/>
                <w:szCs w:val="21"/>
              </w:rPr>
              <w:t>张兴龙</w:t>
            </w:r>
          </w:p>
        </w:tc>
      </w:tr>
      <w:tr w:rsidR="00BE71BB" w:rsidRPr="00D16771" w:rsidTr="00BE71BB">
        <w:trPr>
          <w:trHeight w:val="270"/>
        </w:trPr>
        <w:tc>
          <w:tcPr>
            <w:tcW w:w="4844" w:type="dxa"/>
            <w:noWrap/>
            <w:hideMark/>
          </w:tcPr>
          <w:p w:rsidR="00BE71BB" w:rsidRPr="00D16771" w:rsidRDefault="00BE71BB" w:rsidP="003C78F2">
            <w:r w:rsidRPr="00D16771">
              <w:rPr>
                <w:rFonts w:hint="eastAsia"/>
              </w:rPr>
              <w:t>基于波动率分解的期权定价</w:t>
            </w:r>
          </w:p>
        </w:tc>
        <w:tc>
          <w:tcPr>
            <w:tcW w:w="2371" w:type="dxa"/>
            <w:noWrap/>
            <w:hideMark/>
          </w:tcPr>
          <w:p w:rsidR="00BE71BB" w:rsidRPr="00D16771" w:rsidRDefault="00BE71BB" w:rsidP="003C78F2">
            <w:r w:rsidRPr="00D16771">
              <w:rPr>
                <w:rFonts w:hint="eastAsia"/>
              </w:rPr>
              <w:t>东方证券</w:t>
            </w:r>
          </w:p>
        </w:tc>
        <w:tc>
          <w:tcPr>
            <w:tcW w:w="1276" w:type="dxa"/>
          </w:tcPr>
          <w:p w:rsidR="00BE71BB" w:rsidRPr="000E4FCB" w:rsidRDefault="00BE71BB" w:rsidP="003C78F2">
            <w:pPr>
              <w:rPr>
                <w:rFonts w:asciiTheme="minorEastAsia" w:hAnsiTheme="minorEastAsia"/>
                <w:szCs w:val="21"/>
              </w:rPr>
            </w:pPr>
            <w:r w:rsidRPr="000E4FCB">
              <w:rPr>
                <w:rFonts w:asciiTheme="minorEastAsia" w:hAnsiTheme="minorEastAsia" w:hint="eastAsia"/>
                <w:szCs w:val="21"/>
              </w:rPr>
              <w:t>周仁才</w:t>
            </w:r>
          </w:p>
        </w:tc>
      </w:tr>
      <w:tr w:rsidR="00BE71BB" w:rsidRPr="00D16771" w:rsidTr="00BE71BB">
        <w:trPr>
          <w:trHeight w:val="270"/>
        </w:trPr>
        <w:tc>
          <w:tcPr>
            <w:tcW w:w="4844" w:type="dxa"/>
            <w:noWrap/>
            <w:hideMark/>
          </w:tcPr>
          <w:p w:rsidR="00BE71BB" w:rsidRPr="00D16771" w:rsidRDefault="00BE71BB" w:rsidP="003C78F2">
            <w:r w:rsidRPr="00D16771">
              <w:rPr>
                <w:rFonts w:hint="eastAsia"/>
              </w:rPr>
              <w:t>海通证券混合金融云平台</w:t>
            </w:r>
          </w:p>
        </w:tc>
        <w:tc>
          <w:tcPr>
            <w:tcW w:w="2371" w:type="dxa"/>
            <w:noWrap/>
            <w:hideMark/>
          </w:tcPr>
          <w:p w:rsidR="00BE71BB" w:rsidRPr="00D16771" w:rsidRDefault="00BE71BB" w:rsidP="003C78F2">
            <w:r w:rsidRPr="00D16771">
              <w:rPr>
                <w:rFonts w:hint="eastAsia"/>
              </w:rPr>
              <w:t>海通证券</w:t>
            </w:r>
          </w:p>
        </w:tc>
        <w:tc>
          <w:tcPr>
            <w:tcW w:w="1276" w:type="dxa"/>
          </w:tcPr>
          <w:p w:rsidR="00BE71BB" w:rsidRPr="000E4FCB" w:rsidRDefault="00BE71BB" w:rsidP="003C78F2">
            <w:pPr>
              <w:rPr>
                <w:szCs w:val="21"/>
              </w:rPr>
            </w:pPr>
            <w:r w:rsidRPr="000E4FCB">
              <w:rPr>
                <w:rFonts w:asciiTheme="minorEastAsia" w:hAnsiTheme="minorEastAsia" w:cs="Arial Unicode MS" w:hint="eastAsia"/>
                <w:color w:val="000000"/>
                <w:szCs w:val="21"/>
                <w:u w:color="000000"/>
                <w:lang w:val="zh-CN"/>
              </w:rPr>
              <w:t>王洪涛</w:t>
            </w:r>
          </w:p>
        </w:tc>
      </w:tr>
      <w:tr w:rsidR="00BE71BB" w:rsidRPr="00D16771" w:rsidTr="00BE71BB">
        <w:trPr>
          <w:trHeight w:val="270"/>
        </w:trPr>
        <w:tc>
          <w:tcPr>
            <w:tcW w:w="4844" w:type="dxa"/>
            <w:noWrap/>
            <w:hideMark/>
          </w:tcPr>
          <w:p w:rsidR="00BE71BB" w:rsidRPr="00D16771" w:rsidRDefault="00BE71BB" w:rsidP="00133F0C">
            <w:r w:rsidRPr="00D16771">
              <w:rPr>
                <w:rFonts w:hint="eastAsia"/>
              </w:rPr>
              <w:t>行业</w:t>
            </w:r>
            <w:r w:rsidRPr="00D16771">
              <w:rPr>
                <w:rFonts w:hint="eastAsia"/>
              </w:rPr>
              <w:t>ETF</w:t>
            </w:r>
            <w:r w:rsidRPr="00D16771">
              <w:rPr>
                <w:rFonts w:hint="eastAsia"/>
              </w:rPr>
              <w:t>培育模式创新实践—以国泰证券</w:t>
            </w:r>
            <w:r w:rsidRPr="00D16771">
              <w:rPr>
                <w:rFonts w:hint="eastAsia"/>
              </w:rPr>
              <w:t>ETF</w:t>
            </w:r>
            <w:r w:rsidRPr="00D16771">
              <w:rPr>
                <w:rFonts w:hint="eastAsia"/>
              </w:rPr>
              <w:t>为例</w:t>
            </w:r>
          </w:p>
        </w:tc>
        <w:tc>
          <w:tcPr>
            <w:tcW w:w="2371" w:type="dxa"/>
            <w:noWrap/>
            <w:hideMark/>
          </w:tcPr>
          <w:p w:rsidR="00BE71BB" w:rsidRPr="00D16771" w:rsidRDefault="00BE71BB" w:rsidP="003C78F2">
            <w:r w:rsidRPr="00D16771">
              <w:rPr>
                <w:rFonts w:hint="eastAsia"/>
              </w:rPr>
              <w:t>国泰基金管理有限公司</w:t>
            </w:r>
          </w:p>
        </w:tc>
        <w:tc>
          <w:tcPr>
            <w:tcW w:w="1276" w:type="dxa"/>
          </w:tcPr>
          <w:p w:rsidR="00BE71BB" w:rsidRPr="000E4FCB" w:rsidRDefault="00BE71BB" w:rsidP="003C78F2">
            <w:pPr>
              <w:rPr>
                <w:rFonts w:asciiTheme="minorEastAsia" w:hAnsiTheme="minorEastAsia"/>
                <w:szCs w:val="21"/>
              </w:rPr>
            </w:pPr>
            <w:r w:rsidRPr="000E4FCB">
              <w:rPr>
                <w:rFonts w:asciiTheme="minorEastAsia" w:hAnsiTheme="minorEastAsia" w:hint="eastAsia"/>
                <w:szCs w:val="21"/>
              </w:rPr>
              <w:t>梁杏</w:t>
            </w:r>
          </w:p>
        </w:tc>
      </w:tr>
      <w:tr w:rsidR="00BE71BB" w:rsidRPr="00D16771" w:rsidTr="00BE71BB">
        <w:trPr>
          <w:trHeight w:val="270"/>
        </w:trPr>
        <w:tc>
          <w:tcPr>
            <w:tcW w:w="4844" w:type="dxa"/>
            <w:noWrap/>
            <w:hideMark/>
          </w:tcPr>
          <w:p w:rsidR="00BE71BB" w:rsidRPr="00D16771" w:rsidRDefault="00BE71BB" w:rsidP="003C78F2">
            <w:r w:rsidRPr="00D16771">
              <w:rPr>
                <w:rFonts w:hint="eastAsia"/>
              </w:rPr>
              <w:t>期货公司投资咨询业务定位与发展模式探讨</w:t>
            </w:r>
          </w:p>
        </w:tc>
        <w:tc>
          <w:tcPr>
            <w:tcW w:w="2371" w:type="dxa"/>
            <w:noWrap/>
            <w:hideMark/>
          </w:tcPr>
          <w:p w:rsidR="00BE71BB" w:rsidRPr="00D16771" w:rsidRDefault="00BE71BB" w:rsidP="003C78F2">
            <w:r w:rsidRPr="00D16771">
              <w:rPr>
                <w:rFonts w:hint="eastAsia"/>
              </w:rPr>
              <w:t>东吴期货有限公司</w:t>
            </w:r>
          </w:p>
        </w:tc>
        <w:tc>
          <w:tcPr>
            <w:tcW w:w="1276" w:type="dxa"/>
          </w:tcPr>
          <w:p w:rsidR="00BE71BB" w:rsidRPr="00D82461" w:rsidRDefault="00BE71BB" w:rsidP="003C78F2">
            <w:pPr>
              <w:rPr>
                <w:rFonts w:asciiTheme="minorEastAsia" w:hAnsiTheme="minorEastAsia"/>
                <w:szCs w:val="21"/>
              </w:rPr>
            </w:pPr>
            <w:r w:rsidRPr="00D82461">
              <w:rPr>
                <w:rFonts w:asciiTheme="minorEastAsia" w:hAnsiTheme="minorEastAsia" w:cs="Arial" w:hint="eastAsia"/>
                <w:szCs w:val="21"/>
                <w:shd w:val="clear" w:color="auto" w:fill="FFFFFF"/>
              </w:rPr>
              <w:t>姜</w:t>
            </w:r>
            <w:r w:rsidRPr="00D82461">
              <w:rPr>
                <w:rFonts w:asciiTheme="minorEastAsia" w:hAnsiTheme="minorEastAsia" w:cs="Arial"/>
                <w:szCs w:val="21"/>
                <w:shd w:val="clear" w:color="auto" w:fill="FFFFFF"/>
              </w:rPr>
              <w:t>兴春</w:t>
            </w:r>
          </w:p>
        </w:tc>
      </w:tr>
      <w:tr w:rsidR="00BE71BB" w:rsidRPr="00D16771" w:rsidTr="00BE71BB">
        <w:trPr>
          <w:trHeight w:val="270"/>
        </w:trPr>
        <w:tc>
          <w:tcPr>
            <w:tcW w:w="4844" w:type="dxa"/>
            <w:noWrap/>
            <w:hideMark/>
          </w:tcPr>
          <w:p w:rsidR="00BE71BB" w:rsidRPr="00D16771" w:rsidRDefault="00BE71BB" w:rsidP="003C78F2">
            <w:r w:rsidRPr="00D16771">
              <w:rPr>
                <w:rFonts w:hint="eastAsia"/>
              </w:rPr>
              <w:t>直连</w:t>
            </w:r>
            <w:r w:rsidRPr="00D16771">
              <w:rPr>
                <w:rFonts w:hint="eastAsia"/>
              </w:rPr>
              <w:t>CME</w:t>
            </w:r>
            <w:r w:rsidRPr="00D16771">
              <w:rPr>
                <w:rFonts w:hint="eastAsia"/>
              </w:rPr>
              <w:t>和</w:t>
            </w:r>
            <w:r w:rsidRPr="00D16771">
              <w:rPr>
                <w:rFonts w:hint="eastAsia"/>
              </w:rPr>
              <w:t>LME</w:t>
            </w:r>
            <w:r w:rsidRPr="00D16771">
              <w:rPr>
                <w:rFonts w:hint="eastAsia"/>
              </w:rPr>
              <w:t>低延迟线路建设项目</w:t>
            </w:r>
          </w:p>
        </w:tc>
        <w:tc>
          <w:tcPr>
            <w:tcW w:w="2371" w:type="dxa"/>
            <w:noWrap/>
            <w:hideMark/>
          </w:tcPr>
          <w:p w:rsidR="00BE71BB" w:rsidRPr="00D16771" w:rsidRDefault="00BE71BB" w:rsidP="003C78F2">
            <w:r w:rsidRPr="00D16771">
              <w:rPr>
                <w:rFonts w:hint="eastAsia"/>
              </w:rPr>
              <w:t>国信期货有限责任公司</w:t>
            </w:r>
          </w:p>
        </w:tc>
        <w:tc>
          <w:tcPr>
            <w:tcW w:w="1276" w:type="dxa"/>
          </w:tcPr>
          <w:p w:rsidR="00BE71BB" w:rsidRPr="00D82461" w:rsidRDefault="00BE71BB" w:rsidP="00D82461">
            <w:pPr>
              <w:autoSpaceDE w:val="0"/>
              <w:autoSpaceDN w:val="0"/>
              <w:adjustRightInd w:val="0"/>
              <w:jc w:val="left"/>
              <w:rPr>
                <w:rFonts w:asciiTheme="minorEastAsia" w:hAnsiTheme="minorEastAsia" w:cs="DengXian"/>
                <w:color w:val="000000"/>
                <w:kern w:val="0"/>
                <w:szCs w:val="21"/>
              </w:rPr>
            </w:pPr>
            <w:r w:rsidRPr="000E4FCB">
              <w:rPr>
                <w:rFonts w:asciiTheme="minorEastAsia" w:hAnsiTheme="minorEastAsia" w:cs="DengXian" w:hint="eastAsia"/>
                <w:color w:val="000000"/>
                <w:kern w:val="0"/>
                <w:szCs w:val="21"/>
              </w:rPr>
              <w:t>余晓东</w:t>
            </w:r>
          </w:p>
        </w:tc>
      </w:tr>
      <w:tr w:rsidR="00BE71BB" w:rsidRPr="00D16771" w:rsidTr="00BE71BB">
        <w:trPr>
          <w:trHeight w:val="270"/>
        </w:trPr>
        <w:tc>
          <w:tcPr>
            <w:tcW w:w="4844" w:type="dxa"/>
            <w:noWrap/>
            <w:hideMark/>
          </w:tcPr>
          <w:p w:rsidR="00BE71BB" w:rsidRPr="00D16771" w:rsidRDefault="00BE71BB" w:rsidP="003C78F2">
            <w:r w:rsidRPr="00D16771">
              <w:rPr>
                <w:rFonts w:hint="eastAsia"/>
              </w:rPr>
              <w:t>基于分布式架构打造证券交易新核心</w:t>
            </w:r>
          </w:p>
        </w:tc>
        <w:tc>
          <w:tcPr>
            <w:tcW w:w="2371" w:type="dxa"/>
            <w:noWrap/>
            <w:hideMark/>
          </w:tcPr>
          <w:p w:rsidR="00BE71BB" w:rsidRPr="00D16771" w:rsidRDefault="00BE71BB" w:rsidP="003C78F2">
            <w:r w:rsidRPr="00D16771">
              <w:rPr>
                <w:rFonts w:hint="eastAsia"/>
              </w:rPr>
              <w:t>东方证券</w:t>
            </w:r>
          </w:p>
        </w:tc>
        <w:tc>
          <w:tcPr>
            <w:tcW w:w="1276" w:type="dxa"/>
          </w:tcPr>
          <w:p w:rsidR="00BE71BB" w:rsidRPr="000E4FCB" w:rsidRDefault="00BE71BB" w:rsidP="003C78F2">
            <w:pPr>
              <w:rPr>
                <w:rFonts w:asciiTheme="minorEastAsia" w:hAnsiTheme="minorEastAsia"/>
                <w:szCs w:val="21"/>
              </w:rPr>
            </w:pPr>
            <w:r w:rsidRPr="000E4FCB">
              <w:rPr>
                <w:rFonts w:asciiTheme="minorEastAsia" w:hAnsiTheme="minorEastAsia" w:hint="eastAsia"/>
                <w:szCs w:val="21"/>
              </w:rPr>
              <w:t>王海东</w:t>
            </w:r>
          </w:p>
        </w:tc>
      </w:tr>
      <w:tr w:rsidR="00BE71BB" w:rsidRPr="00D16771" w:rsidTr="00BE71BB">
        <w:trPr>
          <w:trHeight w:val="552"/>
        </w:trPr>
        <w:tc>
          <w:tcPr>
            <w:tcW w:w="4844" w:type="dxa"/>
            <w:noWrap/>
            <w:hideMark/>
          </w:tcPr>
          <w:p w:rsidR="00BE71BB" w:rsidRPr="00D16771" w:rsidRDefault="00BE71BB" w:rsidP="003C78F2">
            <w:r w:rsidRPr="00D16771">
              <w:rPr>
                <w:rFonts w:hint="eastAsia"/>
              </w:rPr>
              <w:t>东方证券智能量化投研平台</w:t>
            </w:r>
          </w:p>
        </w:tc>
        <w:tc>
          <w:tcPr>
            <w:tcW w:w="2371" w:type="dxa"/>
            <w:noWrap/>
            <w:hideMark/>
          </w:tcPr>
          <w:p w:rsidR="00BE71BB" w:rsidRPr="00D16771" w:rsidRDefault="00BE71BB" w:rsidP="003C78F2">
            <w:r w:rsidRPr="00D16771">
              <w:rPr>
                <w:rFonts w:hint="eastAsia"/>
              </w:rPr>
              <w:t>东方证券</w:t>
            </w:r>
          </w:p>
        </w:tc>
        <w:tc>
          <w:tcPr>
            <w:tcW w:w="1276" w:type="dxa"/>
          </w:tcPr>
          <w:p w:rsidR="00BE71BB" w:rsidRPr="00D82461" w:rsidRDefault="00BE71BB" w:rsidP="003C78F2">
            <w:pPr>
              <w:rPr>
                <w:rFonts w:asciiTheme="minorEastAsia" w:hAnsiTheme="minorEastAsia"/>
                <w:szCs w:val="21"/>
              </w:rPr>
            </w:pPr>
            <w:r w:rsidRPr="00D82461">
              <w:rPr>
                <w:rFonts w:asciiTheme="minorEastAsia" w:hAnsiTheme="minorEastAsia" w:hint="eastAsia"/>
                <w:szCs w:val="21"/>
              </w:rPr>
              <w:t>许可</w:t>
            </w:r>
          </w:p>
        </w:tc>
      </w:tr>
      <w:tr w:rsidR="00BE71BB" w:rsidRPr="00D16771" w:rsidTr="00BE71BB">
        <w:trPr>
          <w:trHeight w:val="558"/>
        </w:trPr>
        <w:tc>
          <w:tcPr>
            <w:tcW w:w="4844" w:type="dxa"/>
            <w:noWrap/>
            <w:hideMark/>
          </w:tcPr>
          <w:p w:rsidR="00BE71BB" w:rsidRPr="00D16771" w:rsidRDefault="00BE71BB" w:rsidP="003C78F2">
            <w:r w:rsidRPr="00D16771">
              <w:rPr>
                <w:rFonts w:hint="eastAsia"/>
              </w:rPr>
              <w:t>申万移仓换月助手</w:t>
            </w:r>
          </w:p>
        </w:tc>
        <w:tc>
          <w:tcPr>
            <w:tcW w:w="2371" w:type="dxa"/>
            <w:noWrap/>
            <w:hideMark/>
          </w:tcPr>
          <w:p w:rsidR="00BE71BB" w:rsidRPr="00D16771" w:rsidRDefault="00BE71BB" w:rsidP="003C78F2">
            <w:r w:rsidRPr="00D16771">
              <w:rPr>
                <w:rFonts w:hint="eastAsia"/>
              </w:rPr>
              <w:t>申银万国期货有限公司</w:t>
            </w:r>
          </w:p>
        </w:tc>
        <w:tc>
          <w:tcPr>
            <w:tcW w:w="1276" w:type="dxa"/>
          </w:tcPr>
          <w:p w:rsidR="00BE71BB" w:rsidRPr="00D82461" w:rsidRDefault="00BE71BB" w:rsidP="003C78F2">
            <w:pPr>
              <w:rPr>
                <w:rFonts w:asciiTheme="minorEastAsia" w:hAnsiTheme="minorEastAsia"/>
                <w:szCs w:val="21"/>
              </w:rPr>
            </w:pPr>
            <w:r w:rsidRPr="00D82461">
              <w:rPr>
                <w:rFonts w:asciiTheme="minorEastAsia" w:hAnsiTheme="minorEastAsia" w:cs="黑体" w:hint="eastAsia"/>
                <w:bCs/>
                <w:szCs w:val="21"/>
              </w:rPr>
              <w:t>王鑫</w:t>
            </w:r>
          </w:p>
        </w:tc>
      </w:tr>
    </w:tbl>
    <w:p w:rsidR="00D66EDC" w:rsidRPr="00CD2374" w:rsidRDefault="00D66EDC" w:rsidP="00D66EDC"/>
    <w:p w:rsidR="00D66EDC" w:rsidRDefault="00D66EDC" w:rsidP="00D66EDC">
      <w:pPr>
        <w:widowControl/>
        <w:jc w:val="left"/>
      </w:pPr>
    </w:p>
    <w:p w:rsidR="006368FD" w:rsidRPr="00851BF9" w:rsidRDefault="00093149" w:rsidP="00D66EDC">
      <w:pPr>
        <w:widowControl/>
        <w:jc w:val="left"/>
        <w:rPr>
          <w:b/>
          <w:sz w:val="32"/>
          <w:szCs w:val="32"/>
        </w:rPr>
      </w:pPr>
      <w:r w:rsidRPr="00851BF9">
        <w:rPr>
          <w:rFonts w:hint="eastAsia"/>
          <w:b/>
          <w:sz w:val="32"/>
          <w:szCs w:val="32"/>
        </w:rPr>
        <w:t>保险组</w:t>
      </w:r>
    </w:p>
    <w:tbl>
      <w:tblPr>
        <w:tblStyle w:val="a5"/>
        <w:tblW w:w="8505" w:type="dxa"/>
        <w:tblLayout w:type="fixed"/>
        <w:tblLook w:val="04A0"/>
      </w:tblPr>
      <w:tblGrid>
        <w:gridCol w:w="4820"/>
        <w:gridCol w:w="2268"/>
        <w:gridCol w:w="1417"/>
      </w:tblGrid>
      <w:tr w:rsidR="00BE71BB" w:rsidRPr="00D16771" w:rsidTr="00264326">
        <w:trPr>
          <w:trHeight w:val="426"/>
        </w:trPr>
        <w:tc>
          <w:tcPr>
            <w:tcW w:w="4820" w:type="dxa"/>
            <w:noWrap/>
            <w:hideMark/>
          </w:tcPr>
          <w:p w:rsidR="00BE71BB" w:rsidRPr="003C78F2" w:rsidRDefault="00BE71BB" w:rsidP="006368FD">
            <w:pPr>
              <w:rPr>
                <w:b/>
                <w:szCs w:val="21"/>
              </w:rPr>
            </w:pPr>
            <w:r w:rsidRPr="000F30DA">
              <w:rPr>
                <w:rFonts w:hint="eastAsia"/>
                <w:b/>
              </w:rPr>
              <w:t>获奖成果名称</w:t>
            </w:r>
          </w:p>
        </w:tc>
        <w:tc>
          <w:tcPr>
            <w:tcW w:w="2268" w:type="dxa"/>
            <w:noWrap/>
            <w:hideMark/>
          </w:tcPr>
          <w:p w:rsidR="00BE71BB" w:rsidRPr="003C78F2" w:rsidRDefault="00BE71BB" w:rsidP="006368FD">
            <w:pPr>
              <w:rPr>
                <w:b/>
                <w:szCs w:val="21"/>
              </w:rPr>
            </w:pPr>
            <w:r w:rsidRPr="003C78F2">
              <w:rPr>
                <w:rFonts w:hint="eastAsia"/>
                <w:b/>
                <w:szCs w:val="21"/>
              </w:rPr>
              <w:t>申报单位</w:t>
            </w:r>
          </w:p>
        </w:tc>
        <w:tc>
          <w:tcPr>
            <w:tcW w:w="1417" w:type="dxa"/>
          </w:tcPr>
          <w:p w:rsidR="00BE71BB" w:rsidRDefault="00BE71BB" w:rsidP="006368FD">
            <w:pPr>
              <w:rPr>
                <w:szCs w:val="21"/>
              </w:rPr>
            </w:pPr>
            <w:r w:rsidRPr="000F30DA">
              <w:rPr>
                <w:rFonts w:hint="eastAsia"/>
                <w:b/>
              </w:rPr>
              <w:t>项目负责人</w:t>
            </w:r>
          </w:p>
        </w:tc>
      </w:tr>
      <w:tr w:rsidR="00BE71BB" w:rsidRPr="00D16771" w:rsidTr="00BE71BB">
        <w:trPr>
          <w:trHeight w:val="20"/>
        </w:trPr>
        <w:tc>
          <w:tcPr>
            <w:tcW w:w="4820" w:type="dxa"/>
            <w:noWrap/>
            <w:hideMark/>
          </w:tcPr>
          <w:p w:rsidR="00BE71BB" w:rsidRPr="00D16771" w:rsidRDefault="00BE71BB" w:rsidP="006368FD">
            <w:pPr>
              <w:rPr>
                <w:szCs w:val="21"/>
              </w:rPr>
            </w:pPr>
            <w:r w:rsidRPr="00D16771">
              <w:rPr>
                <w:rFonts w:hint="eastAsia"/>
                <w:szCs w:val="21"/>
              </w:rPr>
              <w:t>“保交链”赋能保险行业高质量发展</w:t>
            </w:r>
          </w:p>
        </w:tc>
        <w:tc>
          <w:tcPr>
            <w:tcW w:w="2268" w:type="dxa"/>
            <w:noWrap/>
            <w:hideMark/>
          </w:tcPr>
          <w:p w:rsidR="00BE71BB" w:rsidRPr="00D16771" w:rsidRDefault="00BE71BB" w:rsidP="006368FD">
            <w:pPr>
              <w:rPr>
                <w:szCs w:val="21"/>
              </w:rPr>
            </w:pPr>
            <w:r w:rsidRPr="00D16771">
              <w:rPr>
                <w:rFonts w:hint="eastAsia"/>
                <w:szCs w:val="21"/>
              </w:rPr>
              <w:t>上海保险交易所</w:t>
            </w:r>
          </w:p>
        </w:tc>
        <w:tc>
          <w:tcPr>
            <w:tcW w:w="1417" w:type="dxa"/>
          </w:tcPr>
          <w:p w:rsidR="00BE71BB" w:rsidRPr="00B33E5A" w:rsidRDefault="00BE71BB" w:rsidP="006368FD">
            <w:pPr>
              <w:rPr>
                <w:szCs w:val="21"/>
              </w:rPr>
            </w:pPr>
            <w:r w:rsidRPr="00B33E5A">
              <w:rPr>
                <w:rFonts w:ascii="宋体" w:eastAsia="宋体" w:hAnsi="宋体" w:hint="eastAsia"/>
                <w:szCs w:val="21"/>
              </w:rPr>
              <w:t>高崇</w:t>
            </w:r>
          </w:p>
        </w:tc>
      </w:tr>
      <w:tr w:rsidR="00BE71BB" w:rsidRPr="00D16771" w:rsidTr="00BE71BB">
        <w:trPr>
          <w:trHeight w:val="20"/>
        </w:trPr>
        <w:tc>
          <w:tcPr>
            <w:tcW w:w="4820" w:type="dxa"/>
            <w:noWrap/>
            <w:hideMark/>
          </w:tcPr>
          <w:p w:rsidR="00BE71BB" w:rsidRPr="00D16771" w:rsidRDefault="00BE71BB" w:rsidP="006368FD">
            <w:pPr>
              <w:rPr>
                <w:szCs w:val="21"/>
              </w:rPr>
            </w:pPr>
            <w:r w:rsidRPr="00D16771">
              <w:rPr>
                <w:rFonts w:hint="eastAsia"/>
                <w:szCs w:val="21"/>
              </w:rPr>
              <w:t>新形势下保险资金开展多元化资产配置的若干思考</w:t>
            </w:r>
          </w:p>
        </w:tc>
        <w:tc>
          <w:tcPr>
            <w:tcW w:w="2268" w:type="dxa"/>
            <w:noWrap/>
            <w:hideMark/>
          </w:tcPr>
          <w:p w:rsidR="00BE71BB" w:rsidRPr="00D16771" w:rsidRDefault="00BE71BB" w:rsidP="006368FD">
            <w:pPr>
              <w:rPr>
                <w:szCs w:val="21"/>
              </w:rPr>
            </w:pPr>
            <w:r w:rsidRPr="00D16771">
              <w:rPr>
                <w:rFonts w:hint="eastAsia"/>
                <w:szCs w:val="21"/>
              </w:rPr>
              <w:t>太平资产管理有限公司</w:t>
            </w:r>
          </w:p>
        </w:tc>
        <w:tc>
          <w:tcPr>
            <w:tcW w:w="1417" w:type="dxa"/>
          </w:tcPr>
          <w:p w:rsidR="00BE71BB" w:rsidRPr="00B33E5A" w:rsidRDefault="00BE71BB" w:rsidP="006368FD">
            <w:pPr>
              <w:rPr>
                <w:rFonts w:asciiTheme="minorEastAsia" w:hAnsiTheme="minorEastAsia"/>
                <w:szCs w:val="21"/>
              </w:rPr>
            </w:pPr>
            <w:r w:rsidRPr="00B33E5A">
              <w:rPr>
                <w:rFonts w:asciiTheme="minorEastAsia" w:hAnsiTheme="minorEastAsia" w:cs="Times New Roman" w:hint="eastAsia"/>
                <w:szCs w:val="21"/>
              </w:rPr>
              <w:t>沙卫</w:t>
            </w:r>
          </w:p>
        </w:tc>
      </w:tr>
      <w:tr w:rsidR="00BE71BB" w:rsidRPr="00D16771" w:rsidTr="00BE71BB">
        <w:trPr>
          <w:trHeight w:val="20"/>
        </w:trPr>
        <w:tc>
          <w:tcPr>
            <w:tcW w:w="4820" w:type="dxa"/>
            <w:noWrap/>
            <w:hideMark/>
          </w:tcPr>
          <w:p w:rsidR="00BE71BB" w:rsidRPr="00D16771" w:rsidRDefault="00BE71BB" w:rsidP="006368FD">
            <w:pPr>
              <w:rPr>
                <w:szCs w:val="21"/>
              </w:rPr>
            </w:pPr>
            <w:r w:rsidRPr="00D16771">
              <w:rPr>
                <w:rFonts w:hint="eastAsia"/>
                <w:szCs w:val="21"/>
              </w:rPr>
              <w:t>三支柱养老金对接模式探索</w:t>
            </w:r>
          </w:p>
        </w:tc>
        <w:tc>
          <w:tcPr>
            <w:tcW w:w="2268" w:type="dxa"/>
            <w:noWrap/>
            <w:hideMark/>
          </w:tcPr>
          <w:p w:rsidR="00BE71BB" w:rsidRPr="00D16771" w:rsidRDefault="00BE71BB" w:rsidP="006368FD">
            <w:pPr>
              <w:rPr>
                <w:szCs w:val="21"/>
              </w:rPr>
            </w:pPr>
            <w:r w:rsidRPr="00D16771">
              <w:rPr>
                <w:rFonts w:hint="eastAsia"/>
                <w:szCs w:val="21"/>
              </w:rPr>
              <w:t>长江养老保险股份有限公司</w:t>
            </w:r>
          </w:p>
        </w:tc>
        <w:tc>
          <w:tcPr>
            <w:tcW w:w="1417" w:type="dxa"/>
          </w:tcPr>
          <w:p w:rsidR="00BE71BB" w:rsidRPr="00B33E5A" w:rsidRDefault="00BE71BB" w:rsidP="006368FD">
            <w:pPr>
              <w:rPr>
                <w:rFonts w:asciiTheme="minorEastAsia" w:hAnsiTheme="minorEastAsia"/>
                <w:szCs w:val="21"/>
              </w:rPr>
            </w:pPr>
            <w:r w:rsidRPr="00B33E5A">
              <w:rPr>
                <w:rFonts w:asciiTheme="minorEastAsia" w:hAnsiTheme="minorEastAsia" w:hint="eastAsia"/>
                <w:szCs w:val="21"/>
              </w:rPr>
              <w:t>苏罡</w:t>
            </w:r>
          </w:p>
        </w:tc>
      </w:tr>
      <w:tr w:rsidR="00BE71BB" w:rsidRPr="00D16771" w:rsidTr="00BE71BB">
        <w:trPr>
          <w:trHeight w:val="20"/>
        </w:trPr>
        <w:tc>
          <w:tcPr>
            <w:tcW w:w="4820" w:type="dxa"/>
            <w:noWrap/>
            <w:hideMark/>
          </w:tcPr>
          <w:p w:rsidR="00BE71BB" w:rsidRPr="00D16771" w:rsidRDefault="00BE71BB" w:rsidP="006368FD">
            <w:pPr>
              <w:rPr>
                <w:szCs w:val="21"/>
              </w:rPr>
            </w:pPr>
            <w:r w:rsidRPr="00D16771">
              <w:rPr>
                <w:rFonts w:hint="eastAsia"/>
                <w:szCs w:val="21"/>
              </w:rPr>
              <w:t>国际再保险场内交易的法律环境研究</w:t>
            </w:r>
          </w:p>
        </w:tc>
        <w:tc>
          <w:tcPr>
            <w:tcW w:w="2268" w:type="dxa"/>
            <w:noWrap/>
            <w:hideMark/>
          </w:tcPr>
          <w:p w:rsidR="00BE71BB" w:rsidRPr="00D16771" w:rsidRDefault="00BE71BB" w:rsidP="006368FD">
            <w:pPr>
              <w:rPr>
                <w:szCs w:val="21"/>
              </w:rPr>
            </w:pPr>
            <w:r w:rsidRPr="00D16771">
              <w:rPr>
                <w:rFonts w:hint="eastAsia"/>
                <w:szCs w:val="21"/>
              </w:rPr>
              <w:t>上海保险交易所</w:t>
            </w:r>
          </w:p>
        </w:tc>
        <w:tc>
          <w:tcPr>
            <w:tcW w:w="1417" w:type="dxa"/>
          </w:tcPr>
          <w:p w:rsidR="00BE71BB" w:rsidRPr="00B33E5A" w:rsidRDefault="00BE71BB" w:rsidP="006368FD">
            <w:pPr>
              <w:rPr>
                <w:rFonts w:asciiTheme="minorEastAsia" w:hAnsiTheme="minorEastAsia"/>
                <w:szCs w:val="21"/>
              </w:rPr>
            </w:pPr>
            <w:r w:rsidRPr="00B33E5A">
              <w:rPr>
                <w:rFonts w:asciiTheme="minorEastAsia" w:hAnsiTheme="minorEastAsia" w:cs="Times New Roman" w:hint="eastAsia"/>
                <w:szCs w:val="21"/>
              </w:rPr>
              <w:t>李峰</w:t>
            </w:r>
          </w:p>
        </w:tc>
      </w:tr>
      <w:tr w:rsidR="00BE71BB" w:rsidRPr="00D16771" w:rsidTr="00BE71BB">
        <w:trPr>
          <w:trHeight w:val="20"/>
        </w:trPr>
        <w:tc>
          <w:tcPr>
            <w:tcW w:w="4820" w:type="dxa"/>
            <w:noWrap/>
            <w:hideMark/>
          </w:tcPr>
          <w:p w:rsidR="00BE71BB" w:rsidRPr="00D16771" w:rsidRDefault="00BE71BB" w:rsidP="006368FD">
            <w:pPr>
              <w:rPr>
                <w:szCs w:val="21"/>
              </w:rPr>
            </w:pPr>
            <w:r w:rsidRPr="00D16771">
              <w:rPr>
                <w:rFonts w:hint="eastAsia"/>
                <w:szCs w:val="21"/>
              </w:rPr>
              <w:t>上海农业保险调查及政策设计建议</w:t>
            </w:r>
          </w:p>
        </w:tc>
        <w:tc>
          <w:tcPr>
            <w:tcW w:w="2268" w:type="dxa"/>
            <w:noWrap/>
            <w:hideMark/>
          </w:tcPr>
          <w:p w:rsidR="00BE71BB" w:rsidRPr="00D16771" w:rsidRDefault="00BE71BB" w:rsidP="006368FD">
            <w:pPr>
              <w:rPr>
                <w:szCs w:val="21"/>
              </w:rPr>
            </w:pPr>
            <w:r w:rsidRPr="00D16771">
              <w:rPr>
                <w:rFonts w:hint="eastAsia"/>
                <w:szCs w:val="21"/>
              </w:rPr>
              <w:t>安信农业保险股份有限公司上海分公司</w:t>
            </w:r>
          </w:p>
        </w:tc>
        <w:tc>
          <w:tcPr>
            <w:tcW w:w="1417" w:type="dxa"/>
          </w:tcPr>
          <w:p w:rsidR="00BE71BB" w:rsidRPr="00B33E5A" w:rsidRDefault="00BE71BB" w:rsidP="006368FD">
            <w:pPr>
              <w:rPr>
                <w:rFonts w:asciiTheme="minorEastAsia" w:hAnsiTheme="minorEastAsia"/>
                <w:szCs w:val="21"/>
              </w:rPr>
            </w:pPr>
            <w:r w:rsidRPr="00B33E5A">
              <w:rPr>
                <w:rFonts w:asciiTheme="minorEastAsia" w:hAnsiTheme="minorEastAsia" w:hint="eastAsia"/>
                <w:szCs w:val="21"/>
              </w:rPr>
              <w:t>庹国柱</w:t>
            </w:r>
          </w:p>
        </w:tc>
      </w:tr>
      <w:tr w:rsidR="00BE71BB" w:rsidRPr="00D16771" w:rsidTr="00BE71BB">
        <w:trPr>
          <w:trHeight w:val="20"/>
        </w:trPr>
        <w:tc>
          <w:tcPr>
            <w:tcW w:w="4820" w:type="dxa"/>
            <w:noWrap/>
            <w:hideMark/>
          </w:tcPr>
          <w:p w:rsidR="00BE71BB" w:rsidRPr="00D16771" w:rsidRDefault="00BE71BB" w:rsidP="006368FD">
            <w:pPr>
              <w:rPr>
                <w:szCs w:val="21"/>
              </w:rPr>
            </w:pPr>
            <w:r w:rsidRPr="00D16771">
              <w:rPr>
                <w:rFonts w:hint="eastAsia"/>
                <w:szCs w:val="21"/>
              </w:rPr>
              <w:t>我国探索巨灾债券的风险分析与应对机制</w:t>
            </w:r>
          </w:p>
        </w:tc>
        <w:tc>
          <w:tcPr>
            <w:tcW w:w="2268" w:type="dxa"/>
            <w:noWrap/>
            <w:hideMark/>
          </w:tcPr>
          <w:p w:rsidR="00BE71BB" w:rsidRPr="00D16771" w:rsidRDefault="00BE71BB" w:rsidP="006368FD">
            <w:pPr>
              <w:rPr>
                <w:szCs w:val="21"/>
              </w:rPr>
            </w:pPr>
            <w:r w:rsidRPr="00D16771">
              <w:rPr>
                <w:rFonts w:hint="eastAsia"/>
                <w:szCs w:val="21"/>
              </w:rPr>
              <w:t>上海保险交易所</w:t>
            </w:r>
          </w:p>
        </w:tc>
        <w:tc>
          <w:tcPr>
            <w:tcW w:w="1417" w:type="dxa"/>
          </w:tcPr>
          <w:p w:rsidR="00BE71BB" w:rsidRPr="00B33E5A" w:rsidRDefault="00BE71BB" w:rsidP="006368FD">
            <w:pPr>
              <w:rPr>
                <w:rFonts w:asciiTheme="minorEastAsia" w:hAnsiTheme="minorEastAsia"/>
                <w:szCs w:val="21"/>
              </w:rPr>
            </w:pPr>
            <w:r w:rsidRPr="00B33E5A">
              <w:rPr>
                <w:rFonts w:asciiTheme="minorEastAsia" w:hAnsiTheme="minorEastAsia" w:hint="eastAsia"/>
                <w:szCs w:val="21"/>
              </w:rPr>
              <w:t>向立力</w:t>
            </w:r>
          </w:p>
        </w:tc>
      </w:tr>
      <w:tr w:rsidR="00BE71BB" w:rsidRPr="00D16771" w:rsidTr="00BE71BB">
        <w:trPr>
          <w:trHeight w:val="20"/>
        </w:trPr>
        <w:tc>
          <w:tcPr>
            <w:tcW w:w="4820" w:type="dxa"/>
            <w:noWrap/>
            <w:hideMark/>
          </w:tcPr>
          <w:p w:rsidR="00BE71BB" w:rsidRPr="00D16771" w:rsidRDefault="00BE71BB" w:rsidP="006368FD">
            <w:pPr>
              <w:rPr>
                <w:szCs w:val="21"/>
              </w:rPr>
            </w:pPr>
            <w:r w:rsidRPr="00D16771">
              <w:rPr>
                <w:rFonts w:hint="eastAsia"/>
                <w:szCs w:val="21"/>
              </w:rPr>
              <w:t>保险业应积极包容信托型业务，加快寿险产品与养老金产品协同发展</w:t>
            </w:r>
          </w:p>
        </w:tc>
        <w:tc>
          <w:tcPr>
            <w:tcW w:w="2268" w:type="dxa"/>
            <w:noWrap/>
            <w:hideMark/>
          </w:tcPr>
          <w:p w:rsidR="00BE71BB" w:rsidRPr="00D16771" w:rsidRDefault="00BE71BB" w:rsidP="006368FD">
            <w:pPr>
              <w:rPr>
                <w:szCs w:val="21"/>
              </w:rPr>
            </w:pPr>
            <w:r w:rsidRPr="00D16771">
              <w:rPr>
                <w:rFonts w:hint="eastAsia"/>
                <w:szCs w:val="21"/>
              </w:rPr>
              <w:t>长江养老保险股份有限公司</w:t>
            </w:r>
          </w:p>
        </w:tc>
        <w:tc>
          <w:tcPr>
            <w:tcW w:w="1417" w:type="dxa"/>
          </w:tcPr>
          <w:p w:rsidR="00BE71BB" w:rsidRPr="00B33E5A" w:rsidRDefault="00BE71BB" w:rsidP="006368FD">
            <w:pPr>
              <w:rPr>
                <w:rFonts w:asciiTheme="minorEastAsia" w:hAnsiTheme="minorEastAsia"/>
                <w:szCs w:val="21"/>
              </w:rPr>
            </w:pPr>
            <w:r w:rsidRPr="00B33E5A">
              <w:rPr>
                <w:rFonts w:asciiTheme="minorEastAsia" w:hAnsiTheme="minorEastAsia" w:hint="eastAsia"/>
                <w:szCs w:val="21"/>
              </w:rPr>
              <w:t>苏罡</w:t>
            </w:r>
          </w:p>
        </w:tc>
      </w:tr>
      <w:tr w:rsidR="00BE71BB" w:rsidRPr="00D16771" w:rsidTr="00BE71BB">
        <w:trPr>
          <w:trHeight w:val="20"/>
        </w:trPr>
        <w:tc>
          <w:tcPr>
            <w:tcW w:w="4820" w:type="dxa"/>
            <w:noWrap/>
            <w:hideMark/>
          </w:tcPr>
          <w:p w:rsidR="00BE71BB" w:rsidRPr="00D16771" w:rsidRDefault="00BE71BB" w:rsidP="006368FD">
            <w:pPr>
              <w:rPr>
                <w:szCs w:val="21"/>
              </w:rPr>
            </w:pPr>
            <w:r w:rsidRPr="00D16771">
              <w:rPr>
                <w:rFonts w:hint="eastAsia"/>
                <w:szCs w:val="21"/>
              </w:rPr>
              <w:t>中国商业健康险白皮书</w:t>
            </w:r>
          </w:p>
        </w:tc>
        <w:tc>
          <w:tcPr>
            <w:tcW w:w="2268" w:type="dxa"/>
            <w:noWrap/>
            <w:hideMark/>
          </w:tcPr>
          <w:p w:rsidR="00BE71BB" w:rsidRPr="00D16771" w:rsidRDefault="00BE71BB" w:rsidP="006368FD">
            <w:pPr>
              <w:rPr>
                <w:szCs w:val="21"/>
              </w:rPr>
            </w:pPr>
            <w:r w:rsidRPr="00D16771">
              <w:rPr>
                <w:rFonts w:hint="eastAsia"/>
                <w:szCs w:val="21"/>
              </w:rPr>
              <w:t>太保安联健康保险股份有限公司</w:t>
            </w:r>
          </w:p>
        </w:tc>
        <w:tc>
          <w:tcPr>
            <w:tcW w:w="1417" w:type="dxa"/>
          </w:tcPr>
          <w:p w:rsidR="00BE71BB" w:rsidRPr="00B33E5A" w:rsidRDefault="00BE71BB" w:rsidP="006368FD">
            <w:pPr>
              <w:rPr>
                <w:szCs w:val="21"/>
              </w:rPr>
            </w:pPr>
            <w:r w:rsidRPr="00B33E5A">
              <w:rPr>
                <w:rFonts w:ascii="宋体" w:hAnsi="宋体" w:hint="eastAsia"/>
                <w:szCs w:val="21"/>
              </w:rPr>
              <w:t>周卿</w:t>
            </w:r>
          </w:p>
        </w:tc>
      </w:tr>
      <w:tr w:rsidR="00BE71BB" w:rsidRPr="00D16771" w:rsidTr="00BE71BB">
        <w:trPr>
          <w:trHeight w:val="20"/>
        </w:trPr>
        <w:tc>
          <w:tcPr>
            <w:tcW w:w="4820" w:type="dxa"/>
            <w:noWrap/>
            <w:hideMark/>
          </w:tcPr>
          <w:p w:rsidR="00BE71BB" w:rsidRPr="00D16771" w:rsidRDefault="00BE71BB" w:rsidP="006368FD">
            <w:pPr>
              <w:rPr>
                <w:szCs w:val="21"/>
              </w:rPr>
            </w:pPr>
            <w:r w:rsidRPr="00D16771">
              <w:rPr>
                <w:rFonts w:hint="eastAsia"/>
                <w:szCs w:val="21"/>
              </w:rPr>
              <w:t>基于长期视角下的保险资金权益资产多元化配置研究</w:t>
            </w:r>
          </w:p>
        </w:tc>
        <w:tc>
          <w:tcPr>
            <w:tcW w:w="2268" w:type="dxa"/>
            <w:noWrap/>
            <w:hideMark/>
          </w:tcPr>
          <w:p w:rsidR="00BE71BB" w:rsidRPr="00D16771" w:rsidRDefault="00BE71BB" w:rsidP="006368FD">
            <w:pPr>
              <w:rPr>
                <w:szCs w:val="21"/>
              </w:rPr>
            </w:pPr>
            <w:r w:rsidRPr="00D16771">
              <w:rPr>
                <w:rFonts w:hint="eastAsia"/>
                <w:szCs w:val="21"/>
              </w:rPr>
              <w:t>太平资产管理有限公司</w:t>
            </w:r>
          </w:p>
        </w:tc>
        <w:tc>
          <w:tcPr>
            <w:tcW w:w="1417" w:type="dxa"/>
          </w:tcPr>
          <w:p w:rsidR="00BE71BB" w:rsidRPr="00481E8A" w:rsidRDefault="00BE71BB" w:rsidP="006368FD">
            <w:pPr>
              <w:rPr>
                <w:rFonts w:asciiTheme="minorEastAsia" w:hAnsiTheme="minorEastAsia"/>
                <w:szCs w:val="21"/>
              </w:rPr>
            </w:pPr>
            <w:r w:rsidRPr="00481E8A">
              <w:rPr>
                <w:rFonts w:asciiTheme="minorEastAsia" w:hAnsiTheme="minorEastAsia" w:hint="eastAsia"/>
                <w:szCs w:val="21"/>
              </w:rPr>
              <w:t>徐钢</w:t>
            </w:r>
          </w:p>
        </w:tc>
      </w:tr>
      <w:tr w:rsidR="00BE71BB" w:rsidRPr="00D16771" w:rsidTr="00BE71BB">
        <w:trPr>
          <w:cantSplit/>
          <w:trHeight w:val="20"/>
        </w:trPr>
        <w:tc>
          <w:tcPr>
            <w:tcW w:w="4820" w:type="dxa"/>
            <w:noWrap/>
            <w:hideMark/>
          </w:tcPr>
          <w:p w:rsidR="00BE71BB" w:rsidRPr="00D16771" w:rsidRDefault="00133F0C" w:rsidP="006368FD">
            <w:pPr>
              <w:rPr>
                <w:szCs w:val="21"/>
              </w:rPr>
            </w:pPr>
            <w:r>
              <w:rPr>
                <w:rFonts w:hint="eastAsia"/>
                <w:szCs w:val="21"/>
              </w:rPr>
              <w:t>国际保险资产管理的典范模式比较分析和借鉴—</w:t>
            </w:r>
            <w:r w:rsidR="00BE71BB" w:rsidRPr="004156DD">
              <w:rPr>
                <w:rFonts w:hint="eastAsia"/>
                <w:szCs w:val="21"/>
              </w:rPr>
              <w:t>以安盛集团、安联集团和美国国际集团为例</w:t>
            </w:r>
          </w:p>
        </w:tc>
        <w:tc>
          <w:tcPr>
            <w:tcW w:w="2268" w:type="dxa"/>
            <w:noWrap/>
            <w:hideMark/>
          </w:tcPr>
          <w:p w:rsidR="00BE71BB" w:rsidRPr="00D16771" w:rsidRDefault="00BE71BB" w:rsidP="006368FD">
            <w:pPr>
              <w:rPr>
                <w:szCs w:val="21"/>
              </w:rPr>
            </w:pPr>
            <w:r w:rsidRPr="00D16771">
              <w:rPr>
                <w:rFonts w:hint="eastAsia"/>
                <w:szCs w:val="21"/>
              </w:rPr>
              <w:t>太平资产管理有限公司</w:t>
            </w:r>
          </w:p>
        </w:tc>
        <w:tc>
          <w:tcPr>
            <w:tcW w:w="1417" w:type="dxa"/>
          </w:tcPr>
          <w:p w:rsidR="00BE71BB" w:rsidRPr="00B33E5A" w:rsidRDefault="00BE71BB" w:rsidP="006368FD">
            <w:pPr>
              <w:rPr>
                <w:rFonts w:asciiTheme="minorEastAsia" w:hAnsiTheme="minorEastAsia"/>
                <w:szCs w:val="21"/>
              </w:rPr>
            </w:pPr>
            <w:r w:rsidRPr="00B33E5A">
              <w:rPr>
                <w:rFonts w:asciiTheme="minorEastAsia" w:hAnsiTheme="minorEastAsia" w:hint="eastAsia"/>
                <w:szCs w:val="21"/>
              </w:rPr>
              <w:t>马勇</w:t>
            </w:r>
          </w:p>
        </w:tc>
      </w:tr>
      <w:tr w:rsidR="00BE71BB" w:rsidRPr="00D16771" w:rsidTr="00BE71BB">
        <w:trPr>
          <w:cantSplit/>
          <w:trHeight w:val="20"/>
        </w:trPr>
        <w:tc>
          <w:tcPr>
            <w:tcW w:w="4820" w:type="dxa"/>
            <w:noWrap/>
            <w:hideMark/>
          </w:tcPr>
          <w:p w:rsidR="00BE71BB" w:rsidRPr="00D16771" w:rsidRDefault="00BE71BB" w:rsidP="006368FD">
            <w:pPr>
              <w:rPr>
                <w:szCs w:val="21"/>
              </w:rPr>
            </w:pPr>
            <w:r w:rsidRPr="00D16771">
              <w:rPr>
                <w:rFonts w:hint="eastAsia"/>
                <w:szCs w:val="21"/>
              </w:rPr>
              <w:t>智控罗盘—健康保险理赔风控新模式的探索与落地实践</w:t>
            </w:r>
          </w:p>
        </w:tc>
        <w:tc>
          <w:tcPr>
            <w:tcW w:w="2268" w:type="dxa"/>
            <w:noWrap/>
            <w:hideMark/>
          </w:tcPr>
          <w:p w:rsidR="00BE71BB" w:rsidRPr="00D16771" w:rsidRDefault="00BE71BB" w:rsidP="006368FD">
            <w:pPr>
              <w:rPr>
                <w:szCs w:val="21"/>
              </w:rPr>
            </w:pPr>
            <w:r w:rsidRPr="00D16771">
              <w:rPr>
                <w:rFonts w:hint="eastAsia"/>
                <w:szCs w:val="21"/>
              </w:rPr>
              <w:t>太保安联健康保险股份有限公司</w:t>
            </w:r>
          </w:p>
        </w:tc>
        <w:tc>
          <w:tcPr>
            <w:tcW w:w="1417" w:type="dxa"/>
          </w:tcPr>
          <w:p w:rsidR="00BE71BB" w:rsidRPr="00481E8A" w:rsidRDefault="00BE71BB" w:rsidP="006368FD">
            <w:pPr>
              <w:rPr>
                <w:rFonts w:asciiTheme="minorEastAsia" w:hAnsiTheme="minorEastAsia"/>
                <w:szCs w:val="21"/>
              </w:rPr>
            </w:pPr>
            <w:r w:rsidRPr="00481E8A">
              <w:rPr>
                <w:rFonts w:asciiTheme="minorEastAsia" w:hAnsiTheme="minorEastAsia" w:cs="黑体" w:hint="eastAsia"/>
                <w:bCs/>
                <w:szCs w:val="21"/>
              </w:rPr>
              <w:t>戚开铭</w:t>
            </w:r>
          </w:p>
        </w:tc>
      </w:tr>
      <w:tr w:rsidR="00BE71BB" w:rsidRPr="00D16771" w:rsidTr="00BE71BB">
        <w:trPr>
          <w:cantSplit/>
          <w:trHeight w:val="20"/>
        </w:trPr>
        <w:tc>
          <w:tcPr>
            <w:tcW w:w="4820" w:type="dxa"/>
            <w:noWrap/>
            <w:hideMark/>
          </w:tcPr>
          <w:p w:rsidR="00BE71BB" w:rsidRPr="00D16771" w:rsidRDefault="00BE71BB" w:rsidP="006368FD">
            <w:pPr>
              <w:rPr>
                <w:szCs w:val="21"/>
              </w:rPr>
            </w:pPr>
            <w:r w:rsidRPr="00D16771">
              <w:rPr>
                <w:rFonts w:hint="eastAsia"/>
                <w:szCs w:val="21"/>
              </w:rPr>
              <w:t>百舸争流</w:t>
            </w:r>
            <w:r w:rsidRPr="00D16771">
              <w:rPr>
                <w:rFonts w:hint="eastAsia"/>
                <w:szCs w:val="21"/>
              </w:rPr>
              <w:t xml:space="preserve"> </w:t>
            </w:r>
            <w:r w:rsidRPr="00D16771">
              <w:rPr>
                <w:rFonts w:hint="eastAsia"/>
                <w:szCs w:val="21"/>
              </w:rPr>
              <w:t>奋楫者先</w:t>
            </w:r>
            <w:r w:rsidR="00133F0C">
              <w:rPr>
                <w:rFonts w:hint="eastAsia"/>
                <w:szCs w:val="21"/>
              </w:rPr>
              <w:t>—</w:t>
            </w:r>
            <w:r w:rsidRPr="00D16771">
              <w:rPr>
                <w:rFonts w:hint="eastAsia"/>
                <w:szCs w:val="21"/>
              </w:rPr>
              <w:t>关于中国首家外商独资保险控股公司成立的实践总结</w:t>
            </w:r>
          </w:p>
        </w:tc>
        <w:tc>
          <w:tcPr>
            <w:tcW w:w="2268" w:type="dxa"/>
            <w:noWrap/>
            <w:hideMark/>
          </w:tcPr>
          <w:p w:rsidR="00BE71BB" w:rsidRPr="00D16771" w:rsidRDefault="00BE71BB" w:rsidP="006368FD">
            <w:pPr>
              <w:rPr>
                <w:szCs w:val="21"/>
              </w:rPr>
            </w:pPr>
            <w:r w:rsidRPr="00D16771">
              <w:rPr>
                <w:rFonts w:hint="eastAsia"/>
                <w:szCs w:val="21"/>
              </w:rPr>
              <w:t>中德安联人寿保险有限公司</w:t>
            </w:r>
          </w:p>
        </w:tc>
        <w:tc>
          <w:tcPr>
            <w:tcW w:w="1417" w:type="dxa"/>
          </w:tcPr>
          <w:p w:rsidR="00BE71BB" w:rsidRPr="00D16771" w:rsidRDefault="00264326" w:rsidP="006368FD">
            <w:pPr>
              <w:rPr>
                <w:szCs w:val="21"/>
              </w:rPr>
            </w:pPr>
            <w:r>
              <w:rPr>
                <w:szCs w:val="21"/>
              </w:rPr>
              <w:t>陈良</w:t>
            </w:r>
          </w:p>
        </w:tc>
      </w:tr>
      <w:tr w:rsidR="00BE71BB" w:rsidRPr="00D16771" w:rsidTr="00BE71BB">
        <w:trPr>
          <w:cantSplit/>
          <w:trHeight w:val="20"/>
        </w:trPr>
        <w:tc>
          <w:tcPr>
            <w:tcW w:w="4820" w:type="dxa"/>
            <w:noWrap/>
            <w:hideMark/>
          </w:tcPr>
          <w:p w:rsidR="00BE71BB" w:rsidRPr="00D16771" w:rsidRDefault="00BE71BB" w:rsidP="006368FD">
            <w:pPr>
              <w:rPr>
                <w:szCs w:val="21"/>
              </w:rPr>
            </w:pPr>
            <w:r w:rsidRPr="00D16771">
              <w:rPr>
                <w:rFonts w:hint="eastAsia"/>
                <w:szCs w:val="21"/>
              </w:rPr>
              <w:t>区块链技术在年金运营管理中的应用探索</w:t>
            </w:r>
          </w:p>
        </w:tc>
        <w:tc>
          <w:tcPr>
            <w:tcW w:w="2268" w:type="dxa"/>
            <w:noWrap/>
            <w:hideMark/>
          </w:tcPr>
          <w:p w:rsidR="00BE71BB" w:rsidRPr="00D16771" w:rsidRDefault="00BE71BB" w:rsidP="006368FD">
            <w:pPr>
              <w:rPr>
                <w:szCs w:val="21"/>
              </w:rPr>
            </w:pPr>
            <w:r w:rsidRPr="00D16771">
              <w:rPr>
                <w:rFonts w:hint="eastAsia"/>
                <w:szCs w:val="21"/>
              </w:rPr>
              <w:t>长江养老保险股份有限公司</w:t>
            </w:r>
          </w:p>
        </w:tc>
        <w:tc>
          <w:tcPr>
            <w:tcW w:w="1417" w:type="dxa"/>
          </w:tcPr>
          <w:p w:rsidR="00BE71BB" w:rsidRPr="00481E8A" w:rsidRDefault="00BE71BB" w:rsidP="006368FD">
            <w:pPr>
              <w:rPr>
                <w:rFonts w:asciiTheme="minorEastAsia" w:hAnsiTheme="minorEastAsia"/>
                <w:szCs w:val="21"/>
              </w:rPr>
            </w:pPr>
            <w:r w:rsidRPr="00481E8A">
              <w:rPr>
                <w:rFonts w:asciiTheme="minorEastAsia" w:hAnsiTheme="minorEastAsia" w:cs="宋体" w:hint="eastAsia"/>
                <w:kern w:val="0"/>
                <w:szCs w:val="21"/>
              </w:rPr>
              <w:t>陈琛</w:t>
            </w:r>
          </w:p>
        </w:tc>
      </w:tr>
      <w:tr w:rsidR="00BE71BB" w:rsidRPr="00D16771" w:rsidTr="00BE71BB">
        <w:trPr>
          <w:cantSplit/>
          <w:trHeight w:val="20"/>
        </w:trPr>
        <w:tc>
          <w:tcPr>
            <w:tcW w:w="4820" w:type="dxa"/>
            <w:noWrap/>
            <w:hideMark/>
          </w:tcPr>
          <w:p w:rsidR="00BE71BB" w:rsidRPr="00D16771" w:rsidRDefault="00BE71BB" w:rsidP="006368FD">
            <w:pPr>
              <w:rPr>
                <w:szCs w:val="21"/>
              </w:rPr>
            </w:pPr>
            <w:r w:rsidRPr="00D16771">
              <w:rPr>
                <w:rFonts w:hint="eastAsia"/>
                <w:szCs w:val="21"/>
              </w:rPr>
              <w:lastRenderedPageBreak/>
              <w:t>LPR</w:t>
            </w:r>
            <w:r w:rsidRPr="00D16771">
              <w:rPr>
                <w:rFonts w:hint="eastAsia"/>
                <w:szCs w:val="21"/>
              </w:rPr>
              <w:t>改革：背景、影响及保险资产配置策略</w:t>
            </w:r>
          </w:p>
        </w:tc>
        <w:tc>
          <w:tcPr>
            <w:tcW w:w="2268" w:type="dxa"/>
            <w:noWrap/>
            <w:hideMark/>
          </w:tcPr>
          <w:p w:rsidR="00BE71BB" w:rsidRPr="00D16771" w:rsidRDefault="00BE71BB" w:rsidP="006368FD">
            <w:pPr>
              <w:rPr>
                <w:szCs w:val="21"/>
              </w:rPr>
            </w:pPr>
            <w:r w:rsidRPr="00D16771">
              <w:rPr>
                <w:rFonts w:hint="eastAsia"/>
                <w:szCs w:val="21"/>
              </w:rPr>
              <w:t>太平资产管理有限公司</w:t>
            </w:r>
          </w:p>
        </w:tc>
        <w:tc>
          <w:tcPr>
            <w:tcW w:w="1417" w:type="dxa"/>
          </w:tcPr>
          <w:p w:rsidR="00BE71BB" w:rsidRPr="00B33E5A" w:rsidRDefault="00BE71BB" w:rsidP="006368FD">
            <w:pPr>
              <w:rPr>
                <w:rFonts w:asciiTheme="minorEastAsia" w:hAnsiTheme="minorEastAsia"/>
                <w:szCs w:val="21"/>
              </w:rPr>
            </w:pPr>
            <w:r>
              <w:rPr>
                <w:rFonts w:asciiTheme="minorEastAsia" w:hAnsiTheme="minorEastAsia"/>
                <w:szCs w:val="21"/>
              </w:rPr>
              <w:t>朱晓明</w:t>
            </w:r>
          </w:p>
        </w:tc>
      </w:tr>
      <w:tr w:rsidR="00BE71BB" w:rsidRPr="00D16771" w:rsidTr="00BE71BB">
        <w:trPr>
          <w:cantSplit/>
          <w:trHeight w:val="20"/>
        </w:trPr>
        <w:tc>
          <w:tcPr>
            <w:tcW w:w="4820" w:type="dxa"/>
            <w:noWrap/>
            <w:hideMark/>
          </w:tcPr>
          <w:p w:rsidR="00BE71BB" w:rsidRPr="00D16771" w:rsidRDefault="00BE71BB" w:rsidP="006368FD">
            <w:pPr>
              <w:rPr>
                <w:szCs w:val="21"/>
              </w:rPr>
            </w:pPr>
            <w:r w:rsidRPr="00D16771">
              <w:rPr>
                <w:rFonts w:hint="eastAsia"/>
                <w:szCs w:val="21"/>
              </w:rPr>
              <w:t>“风险雷达”风险大数据建设及其在风险防控中的运用</w:t>
            </w:r>
          </w:p>
        </w:tc>
        <w:tc>
          <w:tcPr>
            <w:tcW w:w="2268" w:type="dxa"/>
            <w:noWrap/>
            <w:hideMark/>
          </w:tcPr>
          <w:p w:rsidR="00BE71BB" w:rsidRPr="00D16771" w:rsidRDefault="00BE71BB" w:rsidP="006368FD">
            <w:pPr>
              <w:rPr>
                <w:szCs w:val="21"/>
              </w:rPr>
            </w:pPr>
            <w:r w:rsidRPr="00D16771">
              <w:rPr>
                <w:rFonts w:hint="eastAsia"/>
                <w:szCs w:val="21"/>
              </w:rPr>
              <w:t>中国太平洋财产保险股份有限公司</w:t>
            </w:r>
          </w:p>
        </w:tc>
        <w:tc>
          <w:tcPr>
            <w:tcW w:w="1417" w:type="dxa"/>
          </w:tcPr>
          <w:p w:rsidR="00BE71BB" w:rsidRPr="00B33E5A" w:rsidRDefault="00BE71BB" w:rsidP="006368FD">
            <w:pPr>
              <w:rPr>
                <w:rFonts w:asciiTheme="minorEastAsia" w:hAnsiTheme="minorEastAsia"/>
                <w:szCs w:val="21"/>
              </w:rPr>
            </w:pPr>
            <w:r w:rsidRPr="00B33E5A">
              <w:rPr>
                <w:rFonts w:asciiTheme="minorEastAsia" w:hAnsiTheme="minorEastAsia" w:hint="eastAsia"/>
                <w:szCs w:val="21"/>
              </w:rPr>
              <w:t>马剑鹤</w:t>
            </w:r>
          </w:p>
        </w:tc>
      </w:tr>
      <w:tr w:rsidR="00BE71BB" w:rsidRPr="00D16771" w:rsidTr="00BE71BB">
        <w:trPr>
          <w:cantSplit/>
          <w:trHeight w:val="20"/>
        </w:trPr>
        <w:tc>
          <w:tcPr>
            <w:tcW w:w="4820" w:type="dxa"/>
            <w:noWrap/>
            <w:hideMark/>
          </w:tcPr>
          <w:p w:rsidR="00BE71BB" w:rsidRPr="00D16771" w:rsidRDefault="00BE71BB" w:rsidP="006368FD">
            <w:pPr>
              <w:rPr>
                <w:szCs w:val="21"/>
              </w:rPr>
            </w:pPr>
            <w:r w:rsidRPr="00D16771">
              <w:rPr>
                <w:rFonts w:hint="eastAsia"/>
                <w:szCs w:val="21"/>
              </w:rPr>
              <w:t>中国商业长期护理保险发展研究报告</w:t>
            </w:r>
          </w:p>
        </w:tc>
        <w:tc>
          <w:tcPr>
            <w:tcW w:w="2268" w:type="dxa"/>
            <w:noWrap/>
            <w:hideMark/>
          </w:tcPr>
          <w:p w:rsidR="00BE71BB" w:rsidRPr="00D16771" w:rsidRDefault="00BE71BB" w:rsidP="006368FD">
            <w:pPr>
              <w:rPr>
                <w:szCs w:val="21"/>
              </w:rPr>
            </w:pPr>
            <w:r w:rsidRPr="00D16771">
              <w:rPr>
                <w:rFonts w:hint="eastAsia"/>
                <w:szCs w:val="21"/>
              </w:rPr>
              <w:t>太保安联健康保险股份有限公司</w:t>
            </w:r>
          </w:p>
        </w:tc>
        <w:tc>
          <w:tcPr>
            <w:tcW w:w="1417" w:type="dxa"/>
          </w:tcPr>
          <w:p w:rsidR="00BE71BB" w:rsidRPr="00481E8A" w:rsidRDefault="00BE71BB" w:rsidP="006368FD">
            <w:pPr>
              <w:rPr>
                <w:rFonts w:asciiTheme="minorEastAsia" w:hAnsiTheme="minorEastAsia"/>
                <w:szCs w:val="21"/>
              </w:rPr>
            </w:pPr>
            <w:r w:rsidRPr="00481E8A">
              <w:rPr>
                <w:rFonts w:asciiTheme="minorEastAsia" w:hAnsiTheme="minorEastAsia" w:cs="黑体" w:hint="eastAsia"/>
                <w:bCs/>
                <w:szCs w:val="21"/>
              </w:rPr>
              <w:t>周卿</w:t>
            </w:r>
          </w:p>
        </w:tc>
      </w:tr>
      <w:tr w:rsidR="00BE71BB" w:rsidRPr="00D16771" w:rsidTr="00BE71BB">
        <w:trPr>
          <w:cantSplit/>
          <w:trHeight w:val="20"/>
        </w:trPr>
        <w:tc>
          <w:tcPr>
            <w:tcW w:w="4820" w:type="dxa"/>
            <w:noWrap/>
            <w:hideMark/>
          </w:tcPr>
          <w:p w:rsidR="00BE71BB" w:rsidRPr="00D16771" w:rsidRDefault="00BE71BB" w:rsidP="006368FD">
            <w:pPr>
              <w:rPr>
                <w:szCs w:val="21"/>
              </w:rPr>
            </w:pPr>
            <w:r w:rsidRPr="00D16771">
              <w:rPr>
                <w:rFonts w:hint="eastAsia"/>
                <w:szCs w:val="21"/>
              </w:rPr>
              <w:t>农业保险风险管理创新方法研究</w:t>
            </w:r>
          </w:p>
        </w:tc>
        <w:tc>
          <w:tcPr>
            <w:tcW w:w="2268" w:type="dxa"/>
            <w:noWrap/>
            <w:hideMark/>
          </w:tcPr>
          <w:p w:rsidR="00BE71BB" w:rsidRPr="00D16771" w:rsidRDefault="00BE71BB" w:rsidP="006368FD">
            <w:pPr>
              <w:rPr>
                <w:szCs w:val="21"/>
              </w:rPr>
            </w:pPr>
            <w:r w:rsidRPr="00D16771">
              <w:rPr>
                <w:rFonts w:hint="eastAsia"/>
                <w:szCs w:val="21"/>
              </w:rPr>
              <w:t>中国太平洋财产保险股份有限公司</w:t>
            </w:r>
          </w:p>
        </w:tc>
        <w:tc>
          <w:tcPr>
            <w:tcW w:w="1417" w:type="dxa"/>
          </w:tcPr>
          <w:p w:rsidR="00BE71BB" w:rsidRPr="00481E8A" w:rsidRDefault="00BE71BB" w:rsidP="006368FD">
            <w:pPr>
              <w:rPr>
                <w:rFonts w:asciiTheme="minorEastAsia" w:hAnsiTheme="minorEastAsia"/>
                <w:szCs w:val="21"/>
              </w:rPr>
            </w:pPr>
            <w:r w:rsidRPr="00481E8A">
              <w:rPr>
                <w:rFonts w:asciiTheme="minorEastAsia" w:hAnsiTheme="minorEastAsia" w:cs="Times New Roman" w:hint="eastAsia"/>
                <w:szCs w:val="21"/>
              </w:rPr>
              <w:t>陈森</w:t>
            </w:r>
          </w:p>
        </w:tc>
      </w:tr>
      <w:tr w:rsidR="00BE71BB" w:rsidRPr="00D16771" w:rsidTr="00BE71BB">
        <w:trPr>
          <w:cantSplit/>
          <w:trHeight w:val="20"/>
        </w:trPr>
        <w:tc>
          <w:tcPr>
            <w:tcW w:w="4820" w:type="dxa"/>
            <w:noWrap/>
            <w:hideMark/>
          </w:tcPr>
          <w:p w:rsidR="00BE71BB" w:rsidRPr="00D16771" w:rsidRDefault="00BE71BB" w:rsidP="006368FD">
            <w:pPr>
              <w:rPr>
                <w:szCs w:val="21"/>
              </w:rPr>
            </w:pPr>
            <w:r w:rsidRPr="00D16771">
              <w:rPr>
                <w:rFonts w:hint="eastAsia"/>
                <w:szCs w:val="21"/>
              </w:rPr>
              <w:t>产险公司省市及以下公司主要负责人经济责任审计评价指标体系及量化标准</w:t>
            </w:r>
          </w:p>
        </w:tc>
        <w:tc>
          <w:tcPr>
            <w:tcW w:w="2268" w:type="dxa"/>
            <w:noWrap/>
            <w:hideMark/>
          </w:tcPr>
          <w:p w:rsidR="00BE71BB" w:rsidRPr="00D16771" w:rsidRDefault="00BE71BB" w:rsidP="006368FD">
            <w:pPr>
              <w:rPr>
                <w:szCs w:val="21"/>
              </w:rPr>
            </w:pPr>
            <w:r w:rsidRPr="00D16771">
              <w:rPr>
                <w:rFonts w:hint="eastAsia"/>
                <w:szCs w:val="21"/>
              </w:rPr>
              <w:t>中国太平洋保险（集团）股份有限公司</w:t>
            </w:r>
          </w:p>
        </w:tc>
        <w:tc>
          <w:tcPr>
            <w:tcW w:w="1417" w:type="dxa"/>
          </w:tcPr>
          <w:p w:rsidR="00BE71BB" w:rsidRPr="00481E8A" w:rsidRDefault="00BE71BB" w:rsidP="006368FD">
            <w:pPr>
              <w:rPr>
                <w:rFonts w:asciiTheme="minorEastAsia" w:hAnsiTheme="minorEastAsia"/>
                <w:szCs w:val="21"/>
              </w:rPr>
            </w:pPr>
            <w:r w:rsidRPr="00481E8A">
              <w:rPr>
                <w:rFonts w:asciiTheme="minorEastAsia" w:hAnsiTheme="minorEastAsia" w:hint="eastAsia"/>
                <w:szCs w:val="21"/>
              </w:rPr>
              <w:t>吴开兵</w:t>
            </w:r>
          </w:p>
        </w:tc>
      </w:tr>
      <w:tr w:rsidR="00BE71BB" w:rsidRPr="00D16771" w:rsidTr="00BE71BB">
        <w:trPr>
          <w:trHeight w:val="20"/>
        </w:trPr>
        <w:tc>
          <w:tcPr>
            <w:tcW w:w="4820" w:type="dxa"/>
            <w:noWrap/>
            <w:hideMark/>
          </w:tcPr>
          <w:p w:rsidR="00BE71BB" w:rsidRPr="00D16771" w:rsidRDefault="00BE71BB" w:rsidP="006368FD">
            <w:pPr>
              <w:rPr>
                <w:szCs w:val="21"/>
              </w:rPr>
            </w:pPr>
            <w:r w:rsidRPr="00D16771">
              <w:rPr>
                <w:rFonts w:hint="eastAsia"/>
                <w:szCs w:val="21"/>
              </w:rPr>
              <w:t>浅谈农业保险发展趋势</w:t>
            </w:r>
          </w:p>
        </w:tc>
        <w:tc>
          <w:tcPr>
            <w:tcW w:w="2268" w:type="dxa"/>
            <w:noWrap/>
            <w:hideMark/>
          </w:tcPr>
          <w:p w:rsidR="00BE71BB" w:rsidRPr="00D16771" w:rsidRDefault="00BE71BB" w:rsidP="006368FD">
            <w:pPr>
              <w:rPr>
                <w:szCs w:val="21"/>
              </w:rPr>
            </w:pPr>
            <w:r w:rsidRPr="00D16771">
              <w:rPr>
                <w:rFonts w:hint="eastAsia"/>
                <w:szCs w:val="21"/>
              </w:rPr>
              <w:t>国元农业保险股份有限公司上海分公司</w:t>
            </w:r>
          </w:p>
        </w:tc>
        <w:tc>
          <w:tcPr>
            <w:tcW w:w="1417" w:type="dxa"/>
          </w:tcPr>
          <w:p w:rsidR="00BE71BB" w:rsidRPr="00D16771" w:rsidRDefault="00BE71BB" w:rsidP="006368FD">
            <w:pPr>
              <w:rPr>
                <w:szCs w:val="21"/>
              </w:rPr>
            </w:pPr>
            <w:r>
              <w:rPr>
                <w:rFonts w:ascii="宋体" w:hAnsi="宋体" w:cs="宋体" w:hint="eastAsia"/>
                <w:szCs w:val="21"/>
              </w:rPr>
              <w:t>甘华</w:t>
            </w:r>
          </w:p>
        </w:tc>
      </w:tr>
      <w:tr w:rsidR="00BE71BB" w:rsidRPr="00D16771" w:rsidTr="00BE71BB">
        <w:trPr>
          <w:trHeight w:val="20"/>
        </w:trPr>
        <w:tc>
          <w:tcPr>
            <w:tcW w:w="4820" w:type="dxa"/>
            <w:noWrap/>
            <w:hideMark/>
          </w:tcPr>
          <w:p w:rsidR="00BE71BB" w:rsidRPr="00D16771" w:rsidRDefault="00BE71BB" w:rsidP="003C78F2">
            <w:pPr>
              <w:rPr>
                <w:szCs w:val="21"/>
              </w:rPr>
            </w:pPr>
            <w:r w:rsidRPr="00D16771">
              <w:rPr>
                <w:rFonts w:hint="eastAsia"/>
                <w:szCs w:val="21"/>
              </w:rPr>
              <w:t>资管新规对保险资管影响及第三方业务发展路径思考</w:t>
            </w:r>
          </w:p>
        </w:tc>
        <w:tc>
          <w:tcPr>
            <w:tcW w:w="2268" w:type="dxa"/>
            <w:noWrap/>
            <w:hideMark/>
          </w:tcPr>
          <w:p w:rsidR="00BE71BB" w:rsidRPr="00D16771" w:rsidRDefault="00BE71BB" w:rsidP="003C78F2">
            <w:pPr>
              <w:rPr>
                <w:szCs w:val="21"/>
              </w:rPr>
            </w:pPr>
            <w:r w:rsidRPr="00D16771">
              <w:rPr>
                <w:rFonts w:hint="eastAsia"/>
                <w:szCs w:val="21"/>
              </w:rPr>
              <w:t>太平洋资产管理有限责任公司</w:t>
            </w:r>
          </w:p>
        </w:tc>
        <w:tc>
          <w:tcPr>
            <w:tcW w:w="1417" w:type="dxa"/>
          </w:tcPr>
          <w:p w:rsidR="00BE71BB" w:rsidRPr="00481E8A" w:rsidRDefault="00BE71BB" w:rsidP="003C78F2">
            <w:pPr>
              <w:rPr>
                <w:szCs w:val="21"/>
              </w:rPr>
            </w:pPr>
            <w:r w:rsidRPr="00481E8A">
              <w:rPr>
                <w:rFonts w:ascii="宋体" w:eastAsia="宋体" w:hAnsi="宋体" w:cs="宋体" w:hint="eastAsia"/>
                <w:kern w:val="0"/>
                <w:szCs w:val="21"/>
                <w:bdr w:val="none" w:sz="0" w:space="0" w:color="auto" w:frame="1"/>
              </w:rPr>
              <w:t>殷春平</w:t>
            </w:r>
          </w:p>
        </w:tc>
      </w:tr>
      <w:tr w:rsidR="00BE71BB" w:rsidRPr="00D16771" w:rsidTr="00BE71BB">
        <w:trPr>
          <w:trHeight w:val="20"/>
        </w:trPr>
        <w:tc>
          <w:tcPr>
            <w:tcW w:w="4820" w:type="dxa"/>
            <w:noWrap/>
            <w:hideMark/>
          </w:tcPr>
          <w:p w:rsidR="00BE71BB" w:rsidRPr="00D16771" w:rsidRDefault="00BE71BB" w:rsidP="006368FD">
            <w:pPr>
              <w:rPr>
                <w:szCs w:val="21"/>
              </w:rPr>
            </w:pPr>
            <w:r w:rsidRPr="00D16771">
              <w:rPr>
                <w:rFonts w:hint="eastAsia"/>
                <w:szCs w:val="21"/>
              </w:rPr>
              <w:t>区块链技术在再保险业务中的应用研究</w:t>
            </w:r>
          </w:p>
        </w:tc>
        <w:tc>
          <w:tcPr>
            <w:tcW w:w="2268" w:type="dxa"/>
            <w:noWrap/>
            <w:hideMark/>
          </w:tcPr>
          <w:p w:rsidR="00BE71BB" w:rsidRPr="00D16771" w:rsidRDefault="00BE71BB" w:rsidP="006368FD">
            <w:pPr>
              <w:rPr>
                <w:szCs w:val="21"/>
              </w:rPr>
            </w:pPr>
            <w:r w:rsidRPr="00D16771">
              <w:rPr>
                <w:rFonts w:hint="eastAsia"/>
                <w:szCs w:val="21"/>
              </w:rPr>
              <w:t>中国财产再保险有限责任公司上海分公司</w:t>
            </w:r>
          </w:p>
        </w:tc>
        <w:tc>
          <w:tcPr>
            <w:tcW w:w="1417" w:type="dxa"/>
          </w:tcPr>
          <w:p w:rsidR="00BE71BB" w:rsidRPr="00D16771" w:rsidRDefault="00264326" w:rsidP="006368FD">
            <w:pPr>
              <w:rPr>
                <w:szCs w:val="21"/>
              </w:rPr>
            </w:pPr>
            <w:r>
              <w:rPr>
                <w:szCs w:val="21"/>
              </w:rPr>
              <w:t>吴忠东</w:t>
            </w:r>
          </w:p>
        </w:tc>
      </w:tr>
      <w:tr w:rsidR="00BE71BB" w:rsidRPr="00D16771" w:rsidTr="00BE71BB">
        <w:trPr>
          <w:trHeight w:val="20"/>
        </w:trPr>
        <w:tc>
          <w:tcPr>
            <w:tcW w:w="4820" w:type="dxa"/>
            <w:noWrap/>
            <w:hideMark/>
          </w:tcPr>
          <w:p w:rsidR="00BE71BB" w:rsidRPr="00D16771" w:rsidRDefault="00BE71BB" w:rsidP="006368FD">
            <w:pPr>
              <w:rPr>
                <w:szCs w:val="21"/>
              </w:rPr>
            </w:pPr>
            <w:r w:rsidRPr="00D16771">
              <w:rPr>
                <w:rFonts w:hint="eastAsia"/>
                <w:szCs w:val="21"/>
              </w:rPr>
              <w:t>以创新发展为动力大力推动保险业文化建设</w:t>
            </w:r>
          </w:p>
        </w:tc>
        <w:tc>
          <w:tcPr>
            <w:tcW w:w="2268" w:type="dxa"/>
            <w:noWrap/>
            <w:hideMark/>
          </w:tcPr>
          <w:p w:rsidR="00BE71BB" w:rsidRPr="00D16771" w:rsidRDefault="00BE71BB" w:rsidP="006368FD">
            <w:pPr>
              <w:rPr>
                <w:szCs w:val="21"/>
              </w:rPr>
            </w:pPr>
            <w:r w:rsidRPr="00D16771">
              <w:rPr>
                <w:rFonts w:hint="eastAsia"/>
                <w:szCs w:val="21"/>
              </w:rPr>
              <w:t>国元农业保险股份有限公司上海分公司</w:t>
            </w:r>
          </w:p>
        </w:tc>
        <w:tc>
          <w:tcPr>
            <w:tcW w:w="1417" w:type="dxa"/>
          </w:tcPr>
          <w:p w:rsidR="00BE71BB" w:rsidRPr="00D16771" w:rsidRDefault="00BE71BB" w:rsidP="006368FD">
            <w:pPr>
              <w:rPr>
                <w:szCs w:val="21"/>
              </w:rPr>
            </w:pPr>
            <w:r w:rsidRPr="006F32F9">
              <w:rPr>
                <w:rFonts w:ascii="宋体" w:eastAsia="宋体" w:hAnsi="宋体" w:cs="宋体" w:hint="eastAsia"/>
                <w:szCs w:val="21"/>
              </w:rPr>
              <w:t>甘华</w:t>
            </w:r>
          </w:p>
        </w:tc>
      </w:tr>
      <w:tr w:rsidR="00BE71BB" w:rsidRPr="00D16771" w:rsidTr="00BE71BB">
        <w:trPr>
          <w:trHeight w:val="20"/>
        </w:trPr>
        <w:tc>
          <w:tcPr>
            <w:tcW w:w="4820" w:type="dxa"/>
            <w:noWrap/>
            <w:hideMark/>
          </w:tcPr>
          <w:p w:rsidR="00BE71BB" w:rsidRPr="00D16771" w:rsidRDefault="00BE71BB" w:rsidP="006368FD">
            <w:pPr>
              <w:rPr>
                <w:szCs w:val="21"/>
              </w:rPr>
            </w:pPr>
            <w:r w:rsidRPr="00D16771">
              <w:rPr>
                <w:rFonts w:hint="eastAsia"/>
                <w:szCs w:val="21"/>
              </w:rPr>
              <w:t>保证保险在企业集中管理中的作用探析</w:t>
            </w:r>
          </w:p>
        </w:tc>
        <w:tc>
          <w:tcPr>
            <w:tcW w:w="2268" w:type="dxa"/>
            <w:noWrap/>
            <w:hideMark/>
          </w:tcPr>
          <w:p w:rsidR="00BE71BB" w:rsidRPr="00D16771" w:rsidRDefault="00BE71BB" w:rsidP="006368FD">
            <w:pPr>
              <w:rPr>
                <w:szCs w:val="21"/>
              </w:rPr>
            </w:pPr>
            <w:r w:rsidRPr="00D16771">
              <w:rPr>
                <w:rFonts w:hint="eastAsia"/>
                <w:szCs w:val="21"/>
              </w:rPr>
              <w:t>英大长安保险经纪有限公司上海分公司</w:t>
            </w:r>
          </w:p>
        </w:tc>
        <w:tc>
          <w:tcPr>
            <w:tcW w:w="1417" w:type="dxa"/>
          </w:tcPr>
          <w:p w:rsidR="00BE71BB" w:rsidRPr="00D16771" w:rsidRDefault="00BE71BB" w:rsidP="006368FD">
            <w:pPr>
              <w:rPr>
                <w:szCs w:val="21"/>
              </w:rPr>
            </w:pPr>
            <w:r>
              <w:rPr>
                <w:szCs w:val="21"/>
              </w:rPr>
              <w:t>高冰</w:t>
            </w:r>
          </w:p>
        </w:tc>
      </w:tr>
      <w:tr w:rsidR="00BE71BB" w:rsidRPr="00D16771" w:rsidTr="00BE71BB">
        <w:trPr>
          <w:trHeight w:val="20"/>
        </w:trPr>
        <w:tc>
          <w:tcPr>
            <w:tcW w:w="4820" w:type="dxa"/>
            <w:noWrap/>
            <w:hideMark/>
          </w:tcPr>
          <w:p w:rsidR="00BE71BB" w:rsidRPr="00D16771" w:rsidRDefault="00BE71BB" w:rsidP="006368FD">
            <w:pPr>
              <w:rPr>
                <w:szCs w:val="21"/>
              </w:rPr>
            </w:pPr>
            <w:r w:rsidRPr="00D16771">
              <w:rPr>
                <w:rFonts w:hint="eastAsia"/>
                <w:szCs w:val="21"/>
              </w:rPr>
              <w:t>城乡居民大病保险内部审计重点及方法</w:t>
            </w:r>
          </w:p>
        </w:tc>
        <w:tc>
          <w:tcPr>
            <w:tcW w:w="2268" w:type="dxa"/>
            <w:noWrap/>
            <w:hideMark/>
          </w:tcPr>
          <w:p w:rsidR="00BE71BB" w:rsidRPr="00D16771" w:rsidRDefault="00BE71BB" w:rsidP="006368FD">
            <w:pPr>
              <w:rPr>
                <w:szCs w:val="21"/>
              </w:rPr>
            </w:pPr>
            <w:r w:rsidRPr="00D16771">
              <w:rPr>
                <w:rFonts w:hint="eastAsia"/>
                <w:szCs w:val="21"/>
              </w:rPr>
              <w:t>中国太平洋保险（集团）股份有限公司</w:t>
            </w:r>
          </w:p>
        </w:tc>
        <w:tc>
          <w:tcPr>
            <w:tcW w:w="1417" w:type="dxa"/>
          </w:tcPr>
          <w:p w:rsidR="00BE71BB" w:rsidRPr="00D16771" w:rsidRDefault="00BE71BB" w:rsidP="006368FD">
            <w:pPr>
              <w:rPr>
                <w:szCs w:val="21"/>
              </w:rPr>
            </w:pPr>
            <w:r>
              <w:rPr>
                <w:rFonts w:asciiTheme="minorEastAsia" w:hAnsiTheme="minorEastAsia"/>
              </w:rPr>
              <w:t>崔宇慧</w:t>
            </w:r>
          </w:p>
        </w:tc>
      </w:tr>
    </w:tbl>
    <w:p w:rsidR="00D16771" w:rsidRDefault="00D16771" w:rsidP="00D66EDC">
      <w:pPr>
        <w:widowControl/>
        <w:jc w:val="left"/>
      </w:pPr>
    </w:p>
    <w:p w:rsidR="00D66EDC" w:rsidRDefault="00D66EDC" w:rsidP="00D66EDC">
      <w:pPr>
        <w:widowControl/>
        <w:jc w:val="left"/>
      </w:pPr>
    </w:p>
    <w:p w:rsidR="00373644" w:rsidRPr="00851BF9" w:rsidRDefault="00373644" w:rsidP="00D66EDC">
      <w:pPr>
        <w:jc w:val="left"/>
        <w:rPr>
          <w:b/>
          <w:sz w:val="32"/>
          <w:szCs w:val="32"/>
        </w:rPr>
      </w:pPr>
      <w:r w:rsidRPr="00851BF9">
        <w:rPr>
          <w:rFonts w:hint="eastAsia"/>
          <w:b/>
          <w:sz w:val="32"/>
          <w:szCs w:val="32"/>
        </w:rPr>
        <w:t>金融市场组</w:t>
      </w:r>
    </w:p>
    <w:tbl>
      <w:tblPr>
        <w:tblStyle w:val="a5"/>
        <w:tblW w:w="8486" w:type="dxa"/>
        <w:tblLook w:val="04A0"/>
      </w:tblPr>
      <w:tblGrid>
        <w:gridCol w:w="4318"/>
        <w:gridCol w:w="2750"/>
        <w:gridCol w:w="1418"/>
      </w:tblGrid>
      <w:tr w:rsidR="00BE71BB" w:rsidRPr="009D1801" w:rsidTr="00264326">
        <w:trPr>
          <w:trHeight w:val="389"/>
        </w:trPr>
        <w:tc>
          <w:tcPr>
            <w:tcW w:w="4318" w:type="dxa"/>
            <w:noWrap/>
            <w:hideMark/>
          </w:tcPr>
          <w:p w:rsidR="00BE71BB" w:rsidRPr="003C78F2" w:rsidRDefault="00BE71BB">
            <w:pPr>
              <w:rPr>
                <w:b/>
              </w:rPr>
            </w:pPr>
            <w:r w:rsidRPr="000F30DA">
              <w:rPr>
                <w:rFonts w:hint="eastAsia"/>
                <w:b/>
              </w:rPr>
              <w:t>获奖成果名称</w:t>
            </w:r>
          </w:p>
        </w:tc>
        <w:tc>
          <w:tcPr>
            <w:tcW w:w="2750" w:type="dxa"/>
            <w:noWrap/>
            <w:hideMark/>
          </w:tcPr>
          <w:p w:rsidR="00BE71BB" w:rsidRPr="003C78F2" w:rsidRDefault="00BE71BB">
            <w:pPr>
              <w:rPr>
                <w:b/>
              </w:rPr>
            </w:pPr>
            <w:r w:rsidRPr="003C78F2">
              <w:rPr>
                <w:rFonts w:hint="eastAsia"/>
                <w:b/>
              </w:rPr>
              <w:t>申报单位</w:t>
            </w:r>
          </w:p>
        </w:tc>
        <w:tc>
          <w:tcPr>
            <w:tcW w:w="1418" w:type="dxa"/>
          </w:tcPr>
          <w:p w:rsidR="00BE71BB" w:rsidRDefault="00BE71BB">
            <w:r w:rsidRPr="000F30DA">
              <w:rPr>
                <w:rFonts w:hint="eastAsia"/>
                <w:b/>
              </w:rPr>
              <w:t>项目负责人</w:t>
            </w:r>
          </w:p>
        </w:tc>
      </w:tr>
      <w:tr w:rsidR="00BE71BB" w:rsidRPr="009D1801" w:rsidTr="00BE71BB">
        <w:trPr>
          <w:trHeight w:val="270"/>
        </w:trPr>
        <w:tc>
          <w:tcPr>
            <w:tcW w:w="4318" w:type="dxa"/>
            <w:noWrap/>
            <w:hideMark/>
          </w:tcPr>
          <w:p w:rsidR="00BE71BB" w:rsidRPr="009D1801" w:rsidRDefault="00BE71BB">
            <w:r w:rsidRPr="009D1801">
              <w:rPr>
                <w:rFonts w:hint="eastAsia"/>
              </w:rPr>
              <w:t>中国并购综合指数报告</w:t>
            </w:r>
          </w:p>
        </w:tc>
        <w:tc>
          <w:tcPr>
            <w:tcW w:w="2750" w:type="dxa"/>
            <w:noWrap/>
            <w:hideMark/>
          </w:tcPr>
          <w:p w:rsidR="00BE71BB" w:rsidRPr="009D1801" w:rsidRDefault="00BE71BB">
            <w:r w:rsidRPr="009D1801">
              <w:rPr>
                <w:rFonts w:hint="eastAsia"/>
              </w:rPr>
              <w:t>上海联合产权交易所</w:t>
            </w:r>
          </w:p>
        </w:tc>
        <w:tc>
          <w:tcPr>
            <w:tcW w:w="1418" w:type="dxa"/>
          </w:tcPr>
          <w:p w:rsidR="00BE71BB" w:rsidRPr="009D1801" w:rsidRDefault="00BE71BB">
            <w:r>
              <w:t>娄金洋</w:t>
            </w:r>
          </w:p>
        </w:tc>
      </w:tr>
      <w:tr w:rsidR="00BE71BB" w:rsidRPr="009D1801" w:rsidTr="00BE71BB">
        <w:trPr>
          <w:trHeight w:val="270"/>
        </w:trPr>
        <w:tc>
          <w:tcPr>
            <w:tcW w:w="4318" w:type="dxa"/>
            <w:noWrap/>
            <w:hideMark/>
          </w:tcPr>
          <w:p w:rsidR="00BE71BB" w:rsidRPr="009D1801" w:rsidRDefault="00BE71BB">
            <w:r w:rsidRPr="009D1801">
              <w:rPr>
                <w:rFonts w:hint="eastAsia"/>
              </w:rPr>
              <w:t>上海期货交易所场外市场建设方案</w:t>
            </w:r>
          </w:p>
        </w:tc>
        <w:tc>
          <w:tcPr>
            <w:tcW w:w="2750" w:type="dxa"/>
            <w:noWrap/>
            <w:hideMark/>
          </w:tcPr>
          <w:p w:rsidR="00BE71BB" w:rsidRPr="009D1801" w:rsidRDefault="00BE71BB">
            <w:r w:rsidRPr="009D1801">
              <w:rPr>
                <w:rFonts w:hint="eastAsia"/>
              </w:rPr>
              <w:t>上海期货交易所</w:t>
            </w:r>
          </w:p>
        </w:tc>
        <w:tc>
          <w:tcPr>
            <w:tcW w:w="1418" w:type="dxa"/>
          </w:tcPr>
          <w:p w:rsidR="00BE71BB" w:rsidRPr="00634641" w:rsidRDefault="00BE71BB">
            <w:pPr>
              <w:rPr>
                <w:rFonts w:asciiTheme="minorEastAsia" w:hAnsiTheme="minorEastAsia"/>
                <w:szCs w:val="21"/>
              </w:rPr>
            </w:pPr>
            <w:r w:rsidRPr="00634641">
              <w:rPr>
                <w:rFonts w:asciiTheme="minorEastAsia" w:hAnsiTheme="minorEastAsia"/>
                <w:szCs w:val="21"/>
              </w:rPr>
              <w:t>鲍建平</w:t>
            </w:r>
          </w:p>
        </w:tc>
      </w:tr>
      <w:tr w:rsidR="00BE71BB" w:rsidRPr="009D1801" w:rsidTr="00BE71BB">
        <w:trPr>
          <w:trHeight w:val="270"/>
        </w:trPr>
        <w:tc>
          <w:tcPr>
            <w:tcW w:w="4318" w:type="dxa"/>
            <w:noWrap/>
            <w:hideMark/>
          </w:tcPr>
          <w:p w:rsidR="00BE71BB" w:rsidRPr="009D1801" w:rsidRDefault="00BE71BB">
            <w:r w:rsidRPr="009D1801">
              <w:rPr>
                <w:rFonts w:hint="eastAsia"/>
              </w:rPr>
              <w:t>借力上海自贸区新片区政策，打造具有全球影响力的国际板市场</w:t>
            </w:r>
          </w:p>
        </w:tc>
        <w:tc>
          <w:tcPr>
            <w:tcW w:w="2750" w:type="dxa"/>
            <w:noWrap/>
            <w:hideMark/>
          </w:tcPr>
          <w:p w:rsidR="00BE71BB" w:rsidRPr="009D1801" w:rsidRDefault="00BE71BB">
            <w:r w:rsidRPr="009D1801">
              <w:rPr>
                <w:rFonts w:hint="eastAsia"/>
              </w:rPr>
              <w:t>上海证券交易所</w:t>
            </w:r>
          </w:p>
        </w:tc>
        <w:tc>
          <w:tcPr>
            <w:tcW w:w="1418" w:type="dxa"/>
          </w:tcPr>
          <w:p w:rsidR="00BE71BB" w:rsidRPr="00634641" w:rsidRDefault="00BE71BB">
            <w:pPr>
              <w:rPr>
                <w:rFonts w:asciiTheme="minorEastAsia" w:hAnsiTheme="minorEastAsia"/>
                <w:szCs w:val="21"/>
              </w:rPr>
            </w:pPr>
            <w:r w:rsidRPr="00634641">
              <w:rPr>
                <w:rFonts w:asciiTheme="minorEastAsia" w:hAnsiTheme="minorEastAsia" w:cs="黑体" w:hint="eastAsia"/>
                <w:bCs/>
                <w:szCs w:val="21"/>
              </w:rPr>
              <w:t>施东辉</w:t>
            </w:r>
          </w:p>
        </w:tc>
      </w:tr>
      <w:tr w:rsidR="00BE71BB" w:rsidRPr="009D1801" w:rsidTr="00BE71BB">
        <w:trPr>
          <w:trHeight w:val="270"/>
        </w:trPr>
        <w:tc>
          <w:tcPr>
            <w:tcW w:w="4318" w:type="dxa"/>
            <w:noWrap/>
            <w:hideMark/>
          </w:tcPr>
          <w:p w:rsidR="00BE71BB" w:rsidRPr="009D1801" w:rsidRDefault="00BE71BB">
            <w:r w:rsidRPr="009D1801">
              <w:rPr>
                <w:rFonts w:hint="eastAsia"/>
              </w:rPr>
              <w:t>中央对手方违约瀑布序列设计研究</w:t>
            </w:r>
          </w:p>
        </w:tc>
        <w:tc>
          <w:tcPr>
            <w:tcW w:w="2750" w:type="dxa"/>
            <w:noWrap/>
            <w:hideMark/>
          </w:tcPr>
          <w:p w:rsidR="00BE71BB" w:rsidRPr="009D1801" w:rsidRDefault="00BE71BB">
            <w:r w:rsidRPr="009D1801">
              <w:rPr>
                <w:rFonts w:hint="eastAsia"/>
              </w:rPr>
              <w:t>中国金融期货交易所</w:t>
            </w:r>
          </w:p>
        </w:tc>
        <w:tc>
          <w:tcPr>
            <w:tcW w:w="1418" w:type="dxa"/>
          </w:tcPr>
          <w:p w:rsidR="00BE71BB" w:rsidRPr="00D82461" w:rsidRDefault="00BE71BB">
            <w:pPr>
              <w:rPr>
                <w:rFonts w:asciiTheme="minorEastAsia" w:hAnsiTheme="minorEastAsia"/>
                <w:szCs w:val="21"/>
              </w:rPr>
            </w:pPr>
            <w:r w:rsidRPr="00D82461">
              <w:rPr>
                <w:rFonts w:asciiTheme="minorEastAsia" w:hAnsiTheme="minorEastAsia" w:cs="Times New Roman" w:hint="eastAsia"/>
                <w:szCs w:val="21"/>
              </w:rPr>
              <w:t>贾倩</w:t>
            </w:r>
          </w:p>
        </w:tc>
      </w:tr>
      <w:tr w:rsidR="00BE71BB" w:rsidRPr="009D1801" w:rsidTr="00BE71BB">
        <w:trPr>
          <w:trHeight w:val="270"/>
        </w:trPr>
        <w:tc>
          <w:tcPr>
            <w:tcW w:w="4318" w:type="dxa"/>
            <w:noWrap/>
            <w:hideMark/>
          </w:tcPr>
          <w:p w:rsidR="00BE71BB" w:rsidRPr="009D1801" w:rsidRDefault="00BE71BB" w:rsidP="003C78F2">
            <w:r w:rsidRPr="009D1801">
              <w:rPr>
                <w:rFonts w:hint="eastAsia"/>
              </w:rPr>
              <w:t>银行间市场中央对手清算发展报告（</w:t>
            </w:r>
            <w:r w:rsidRPr="009D1801">
              <w:rPr>
                <w:rFonts w:hint="eastAsia"/>
              </w:rPr>
              <w:t>2009-2019</w:t>
            </w:r>
            <w:r w:rsidRPr="009D1801">
              <w:rPr>
                <w:rFonts w:hint="eastAsia"/>
              </w:rPr>
              <w:t>）</w:t>
            </w:r>
          </w:p>
        </w:tc>
        <w:tc>
          <w:tcPr>
            <w:tcW w:w="2750" w:type="dxa"/>
            <w:noWrap/>
            <w:hideMark/>
          </w:tcPr>
          <w:p w:rsidR="00BE71BB" w:rsidRPr="009D1801" w:rsidRDefault="00BE71BB" w:rsidP="003C78F2">
            <w:r w:rsidRPr="009D1801">
              <w:rPr>
                <w:rFonts w:hint="eastAsia"/>
              </w:rPr>
              <w:t>上海清算所</w:t>
            </w:r>
          </w:p>
        </w:tc>
        <w:tc>
          <w:tcPr>
            <w:tcW w:w="1418" w:type="dxa"/>
          </w:tcPr>
          <w:p w:rsidR="00BE71BB" w:rsidRPr="009D1801" w:rsidRDefault="00BE71BB" w:rsidP="003C78F2">
            <w:r>
              <w:t>张亚双</w:t>
            </w:r>
          </w:p>
        </w:tc>
      </w:tr>
      <w:tr w:rsidR="00BE71BB" w:rsidRPr="009D1801" w:rsidTr="00BE71BB">
        <w:trPr>
          <w:trHeight w:val="270"/>
        </w:trPr>
        <w:tc>
          <w:tcPr>
            <w:tcW w:w="4318" w:type="dxa"/>
            <w:noWrap/>
            <w:hideMark/>
          </w:tcPr>
          <w:p w:rsidR="00BE71BB" w:rsidRPr="009D1801" w:rsidRDefault="00BE71BB">
            <w:r w:rsidRPr="009D1801">
              <w:rPr>
                <w:rFonts w:hint="eastAsia"/>
              </w:rPr>
              <w:t>中国股票市场个人投资者理性指数研究</w:t>
            </w:r>
          </w:p>
        </w:tc>
        <w:tc>
          <w:tcPr>
            <w:tcW w:w="2750" w:type="dxa"/>
            <w:noWrap/>
            <w:hideMark/>
          </w:tcPr>
          <w:p w:rsidR="00BE71BB" w:rsidRPr="009D1801" w:rsidRDefault="00BE71BB">
            <w:r w:rsidRPr="009D1801">
              <w:rPr>
                <w:rFonts w:hint="eastAsia"/>
              </w:rPr>
              <w:t>上海证券交易所</w:t>
            </w:r>
          </w:p>
        </w:tc>
        <w:tc>
          <w:tcPr>
            <w:tcW w:w="1418" w:type="dxa"/>
          </w:tcPr>
          <w:p w:rsidR="00BE71BB" w:rsidRPr="009D1801" w:rsidRDefault="00967173">
            <w:r w:rsidRPr="00967173">
              <w:rPr>
                <w:rFonts w:hint="eastAsia"/>
              </w:rPr>
              <w:t>施东辉</w:t>
            </w:r>
          </w:p>
        </w:tc>
      </w:tr>
      <w:tr w:rsidR="00BE71BB" w:rsidRPr="009D1801" w:rsidTr="00BE71BB">
        <w:trPr>
          <w:trHeight w:val="270"/>
        </w:trPr>
        <w:tc>
          <w:tcPr>
            <w:tcW w:w="4318" w:type="dxa"/>
            <w:noWrap/>
            <w:hideMark/>
          </w:tcPr>
          <w:p w:rsidR="00BE71BB" w:rsidRPr="009D1801" w:rsidRDefault="00BE71BB">
            <w:r w:rsidRPr="009D1801">
              <w:rPr>
                <w:rFonts w:hint="eastAsia"/>
              </w:rPr>
              <w:t>上市审核与上市监管自动化系统方案设计</w:t>
            </w:r>
          </w:p>
        </w:tc>
        <w:tc>
          <w:tcPr>
            <w:tcW w:w="2750" w:type="dxa"/>
            <w:noWrap/>
            <w:hideMark/>
          </w:tcPr>
          <w:p w:rsidR="00BE71BB" w:rsidRPr="009D1801" w:rsidRDefault="00BE71BB">
            <w:r w:rsidRPr="009D1801">
              <w:rPr>
                <w:rFonts w:hint="eastAsia"/>
              </w:rPr>
              <w:t>上海股权托管交易中心</w:t>
            </w:r>
          </w:p>
        </w:tc>
        <w:tc>
          <w:tcPr>
            <w:tcW w:w="1418" w:type="dxa"/>
          </w:tcPr>
          <w:p w:rsidR="00BE71BB" w:rsidRPr="009D1801" w:rsidRDefault="0022029C">
            <w:r w:rsidRPr="0022029C">
              <w:rPr>
                <w:rFonts w:hint="eastAsia"/>
              </w:rPr>
              <w:t>张云峰</w:t>
            </w:r>
          </w:p>
        </w:tc>
      </w:tr>
      <w:tr w:rsidR="00BE71BB" w:rsidRPr="009D1801" w:rsidTr="00BE71BB">
        <w:trPr>
          <w:trHeight w:val="270"/>
        </w:trPr>
        <w:tc>
          <w:tcPr>
            <w:tcW w:w="4318" w:type="dxa"/>
            <w:noWrap/>
            <w:hideMark/>
          </w:tcPr>
          <w:p w:rsidR="00BE71BB" w:rsidRPr="009D1801" w:rsidRDefault="00BE71BB">
            <w:r w:rsidRPr="009D1801">
              <w:rPr>
                <w:rFonts w:hint="eastAsia"/>
              </w:rPr>
              <w:t>金融大数据应用中的法律风险及其防范</w:t>
            </w:r>
          </w:p>
        </w:tc>
        <w:tc>
          <w:tcPr>
            <w:tcW w:w="2750" w:type="dxa"/>
            <w:noWrap/>
            <w:hideMark/>
          </w:tcPr>
          <w:p w:rsidR="00BE71BB" w:rsidRPr="009D1801" w:rsidRDefault="00BE71BB">
            <w:r w:rsidRPr="009D1801">
              <w:rPr>
                <w:rFonts w:hint="eastAsia"/>
              </w:rPr>
              <w:t>城银清算服务有限责任公司</w:t>
            </w:r>
          </w:p>
        </w:tc>
        <w:tc>
          <w:tcPr>
            <w:tcW w:w="1418" w:type="dxa"/>
          </w:tcPr>
          <w:p w:rsidR="00BE71BB" w:rsidRPr="00EA270F" w:rsidRDefault="00BE71BB">
            <w:pPr>
              <w:rPr>
                <w:szCs w:val="21"/>
              </w:rPr>
            </w:pPr>
            <w:r w:rsidRPr="00EA270F">
              <w:rPr>
                <w:rFonts w:ascii="宋体" w:hAnsi="宋体" w:cs="宋体" w:hint="eastAsia"/>
                <w:szCs w:val="21"/>
              </w:rPr>
              <w:t>曲虹妍</w:t>
            </w:r>
          </w:p>
        </w:tc>
      </w:tr>
      <w:tr w:rsidR="00BE71BB" w:rsidRPr="009D1801" w:rsidTr="00BE71BB">
        <w:trPr>
          <w:trHeight w:val="270"/>
        </w:trPr>
        <w:tc>
          <w:tcPr>
            <w:tcW w:w="4318" w:type="dxa"/>
            <w:noWrap/>
            <w:hideMark/>
          </w:tcPr>
          <w:p w:rsidR="00BE71BB" w:rsidRPr="009D1801" w:rsidRDefault="00BE71BB">
            <w:r w:rsidRPr="009D1801">
              <w:rPr>
                <w:rFonts w:hint="eastAsia"/>
              </w:rPr>
              <w:t>学习国际最优实践</w:t>
            </w:r>
            <w:r w:rsidRPr="009D1801">
              <w:rPr>
                <w:rFonts w:hint="eastAsia"/>
              </w:rPr>
              <w:t xml:space="preserve"> </w:t>
            </w:r>
            <w:r w:rsidRPr="009D1801">
              <w:rPr>
                <w:rFonts w:hint="eastAsia"/>
              </w:rPr>
              <w:t>做优期市跨境交易</w:t>
            </w:r>
          </w:p>
        </w:tc>
        <w:tc>
          <w:tcPr>
            <w:tcW w:w="2750" w:type="dxa"/>
            <w:noWrap/>
            <w:hideMark/>
          </w:tcPr>
          <w:p w:rsidR="00BE71BB" w:rsidRPr="009D1801" w:rsidRDefault="00BE71BB">
            <w:r w:rsidRPr="009D1801">
              <w:rPr>
                <w:rFonts w:hint="eastAsia"/>
              </w:rPr>
              <w:t>上海期货交易所</w:t>
            </w:r>
          </w:p>
        </w:tc>
        <w:tc>
          <w:tcPr>
            <w:tcW w:w="1418" w:type="dxa"/>
          </w:tcPr>
          <w:p w:rsidR="00BE71BB" w:rsidRPr="00634641" w:rsidRDefault="00BE71BB">
            <w:pPr>
              <w:rPr>
                <w:rFonts w:asciiTheme="minorEastAsia" w:hAnsiTheme="minorEastAsia"/>
                <w:szCs w:val="21"/>
              </w:rPr>
            </w:pPr>
            <w:r w:rsidRPr="00634641">
              <w:rPr>
                <w:rFonts w:asciiTheme="minorEastAsia" w:hAnsiTheme="minorEastAsia" w:cs="Times New Roman"/>
                <w:szCs w:val="21"/>
              </w:rPr>
              <w:t>陆丰</w:t>
            </w:r>
          </w:p>
        </w:tc>
      </w:tr>
      <w:tr w:rsidR="00BE71BB" w:rsidRPr="009D1801" w:rsidTr="00BE71BB">
        <w:trPr>
          <w:trHeight w:val="270"/>
        </w:trPr>
        <w:tc>
          <w:tcPr>
            <w:tcW w:w="4318" w:type="dxa"/>
            <w:noWrap/>
            <w:hideMark/>
          </w:tcPr>
          <w:p w:rsidR="00BE71BB" w:rsidRPr="009D1801" w:rsidRDefault="00BE71BB">
            <w:r w:rsidRPr="009D1801">
              <w:rPr>
                <w:rFonts w:hint="eastAsia"/>
              </w:rPr>
              <w:t>通过跨境票据业务提升外贸水平与增强人民币国际化竞争力的研究</w:t>
            </w:r>
          </w:p>
        </w:tc>
        <w:tc>
          <w:tcPr>
            <w:tcW w:w="2750" w:type="dxa"/>
            <w:noWrap/>
            <w:hideMark/>
          </w:tcPr>
          <w:p w:rsidR="00BE71BB" w:rsidRPr="009D1801" w:rsidRDefault="00BE71BB">
            <w:r w:rsidRPr="009D1801">
              <w:rPr>
                <w:rFonts w:hint="eastAsia"/>
              </w:rPr>
              <w:t>上海普兰金融服务有限公司</w:t>
            </w:r>
          </w:p>
        </w:tc>
        <w:tc>
          <w:tcPr>
            <w:tcW w:w="1418" w:type="dxa"/>
          </w:tcPr>
          <w:p w:rsidR="00BE71BB" w:rsidRPr="00EA270F" w:rsidRDefault="00BE71BB">
            <w:pPr>
              <w:rPr>
                <w:rFonts w:asciiTheme="minorEastAsia" w:hAnsiTheme="minorEastAsia"/>
              </w:rPr>
            </w:pPr>
            <w:r w:rsidRPr="00EA270F">
              <w:rPr>
                <w:rFonts w:asciiTheme="minorEastAsia" w:hAnsiTheme="minorEastAsia" w:hint="eastAsia"/>
                <w:kern w:val="0"/>
                <w:szCs w:val="21"/>
              </w:rPr>
              <w:t>黄维</w:t>
            </w:r>
          </w:p>
        </w:tc>
      </w:tr>
      <w:tr w:rsidR="00BE71BB" w:rsidRPr="009D1801" w:rsidTr="00BE71BB">
        <w:trPr>
          <w:trHeight w:val="270"/>
        </w:trPr>
        <w:tc>
          <w:tcPr>
            <w:tcW w:w="4318" w:type="dxa"/>
            <w:noWrap/>
            <w:hideMark/>
          </w:tcPr>
          <w:p w:rsidR="00BE71BB" w:rsidRPr="009D1801" w:rsidRDefault="00BE71BB">
            <w:r w:rsidRPr="009D1801">
              <w:rPr>
                <w:rFonts w:hint="eastAsia"/>
              </w:rPr>
              <w:t>全球资本市场竞争力报告（</w:t>
            </w:r>
            <w:r w:rsidRPr="009D1801">
              <w:rPr>
                <w:rFonts w:hint="eastAsia"/>
              </w:rPr>
              <w:t>2020</w:t>
            </w:r>
            <w:r w:rsidRPr="009D1801">
              <w:rPr>
                <w:rFonts w:hint="eastAsia"/>
              </w:rPr>
              <w:t>）</w:t>
            </w:r>
          </w:p>
        </w:tc>
        <w:tc>
          <w:tcPr>
            <w:tcW w:w="2750" w:type="dxa"/>
            <w:noWrap/>
            <w:hideMark/>
          </w:tcPr>
          <w:p w:rsidR="00BE71BB" w:rsidRPr="009D1801" w:rsidRDefault="00BE71BB">
            <w:r w:rsidRPr="009D1801">
              <w:rPr>
                <w:rFonts w:hint="eastAsia"/>
              </w:rPr>
              <w:t>上海证券交易所</w:t>
            </w:r>
          </w:p>
        </w:tc>
        <w:tc>
          <w:tcPr>
            <w:tcW w:w="1418" w:type="dxa"/>
          </w:tcPr>
          <w:p w:rsidR="00BE71BB" w:rsidRPr="009D1801" w:rsidRDefault="0022029C">
            <w:r w:rsidRPr="0022029C">
              <w:rPr>
                <w:rFonts w:hint="eastAsia"/>
              </w:rPr>
              <w:t>廖士光</w:t>
            </w:r>
          </w:p>
        </w:tc>
      </w:tr>
      <w:tr w:rsidR="00BE71BB" w:rsidRPr="009D1801" w:rsidTr="00BE71BB">
        <w:trPr>
          <w:trHeight w:val="270"/>
        </w:trPr>
        <w:tc>
          <w:tcPr>
            <w:tcW w:w="4318" w:type="dxa"/>
            <w:noWrap/>
            <w:hideMark/>
          </w:tcPr>
          <w:p w:rsidR="00BE71BB" w:rsidRPr="009D1801" w:rsidRDefault="00BE71BB">
            <w:r w:rsidRPr="009D1801">
              <w:rPr>
                <w:rFonts w:hint="eastAsia"/>
              </w:rPr>
              <w:t>设立科创板并试点注册制关键制度评估及优化建议</w:t>
            </w:r>
          </w:p>
        </w:tc>
        <w:tc>
          <w:tcPr>
            <w:tcW w:w="2750" w:type="dxa"/>
            <w:noWrap/>
            <w:hideMark/>
          </w:tcPr>
          <w:p w:rsidR="00BE71BB" w:rsidRPr="009D1801" w:rsidRDefault="00BE71BB">
            <w:r w:rsidRPr="009D1801">
              <w:rPr>
                <w:rFonts w:hint="eastAsia"/>
              </w:rPr>
              <w:t>上海证券交易所</w:t>
            </w:r>
          </w:p>
        </w:tc>
        <w:tc>
          <w:tcPr>
            <w:tcW w:w="1418" w:type="dxa"/>
          </w:tcPr>
          <w:p w:rsidR="00BE71BB" w:rsidRPr="009D1801" w:rsidRDefault="0022029C">
            <w:r w:rsidRPr="0022029C">
              <w:rPr>
                <w:rFonts w:hint="eastAsia"/>
              </w:rPr>
              <w:t>李怡芳</w:t>
            </w:r>
          </w:p>
        </w:tc>
      </w:tr>
      <w:tr w:rsidR="00BE71BB" w:rsidRPr="009D1801" w:rsidTr="00BE71BB">
        <w:trPr>
          <w:trHeight w:val="270"/>
        </w:trPr>
        <w:tc>
          <w:tcPr>
            <w:tcW w:w="4318" w:type="dxa"/>
            <w:noWrap/>
            <w:hideMark/>
          </w:tcPr>
          <w:p w:rsidR="00BE71BB" w:rsidRPr="009D1801" w:rsidRDefault="00BE71BB">
            <w:r w:rsidRPr="009D1801">
              <w:rPr>
                <w:rFonts w:hint="eastAsia"/>
              </w:rPr>
              <w:lastRenderedPageBreak/>
              <w:t>我国股票期权业务回顾与研究</w:t>
            </w:r>
          </w:p>
        </w:tc>
        <w:tc>
          <w:tcPr>
            <w:tcW w:w="2750" w:type="dxa"/>
            <w:noWrap/>
            <w:hideMark/>
          </w:tcPr>
          <w:p w:rsidR="00BE71BB" w:rsidRPr="009D1801" w:rsidRDefault="00BE71BB">
            <w:r w:rsidRPr="009D1801">
              <w:rPr>
                <w:rFonts w:hint="eastAsia"/>
              </w:rPr>
              <w:t>中国证券登记结算有限责任公司上海分公司</w:t>
            </w:r>
          </w:p>
        </w:tc>
        <w:tc>
          <w:tcPr>
            <w:tcW w:w="1418" w:type="dxa"/>
          </w:tcPr>
          <w:p w:rsidR="00BE71BB" w:rsidRPr="00634641" w:rsidRDefault="00BE71BB">
            <w:pPr>
              <w:rPr>
                <w:szCs w:val="21"/>
              </w:rPr>
            </w:pPr>
            <w:r w:rsidRPr="00634641">
              <w:rPr>
                <w:rFonts w:ascii="宋体" w:hAnsi="宋体" w:hint="eastAsia"/>
                <w:szCs w:val="21"/>
              </w:rPr>
              <w:t>朱</w:t>
            </w:r>
            <w:r w:rsidRPr="00634641">
              <w:rPr>
                <w:rFonts w:ascii="宋体" w:hAnsi="宋体" w:cs="宋体" w:hint="eastAsia"/>
                <w:szCs w:val="21"/>
              </w:rPr>
              <w:t>伟</w:t>
            </w:r>
          </w:p>
        </w:tc>
      </w:tr>
      <w:tr w:rsidR="00BE71BB" w:rsidRPr="009D1801" w:rsidTr="00BE71BB">
        <w:trPr>
          <w:trHeight w:val="270"/>
        </w:trPr>
        <w:tc>
          <w:tcPr>
            <w:tcW w:w="4318" w:type="dxa"/>
            <w:noWrap/>
            <w:hideMark/>
          </w:tcPr>
          <w:p w:rsidR="00BE71BB" w:rsidRPr="009D1801" w:rsidRDefault="00BE71BB">
            <w:r w:rsidRPr="009D1801">
              <w:rPr>
                <w:rFonts w:hint="eastAsia"/>
              </w:rPr>
              <w:t>欧盟个人数据保护条例（</w:t>
            </w:r>
            <w:r w:rsidRPr="009D1801">
              <w:rPr>
                <w:rFonts w:hint="eastAsia"/>
              </w:rPr>
              <w:t>GDPR</w:t>
            </w:r>
            <w:r w:rsidRPr="009D1801">
              <w:rPr>
                <w:rFonts w:hint="eastAsia"/>
              </w:rPr>
              <w:t>）研究及启示</w:t>
            </w:r>
          </w:p>
        </w:tc>
        <w:tc>
          <w:tcPr>
            <w:tcW w:w="2750" w:type="dxa"/>
            <w:noWrap/>
            <w:hideMark/>
          </w:tcPr>
          <w:p w:rsidR="00BE71BB" w:rsidRPr="009D1801" w:rsidRDefault="00BE71BB">
            <w:r w:rsidRPr="009D1801">
              <w:rPr>
                <w:rFonts w:hint="eastAsia"/>
              </w:rPr>
              <w:t>中国银联</w:t>
            </w:r>
          </w:p>
        </w:tc>
        <w:tc>
          <w:tcPr>
            <w:tcW w:w="1418" w:type="dxa"/>
          </w:tcPr>
          <w:p w:rsidR="00BE71BB" w:rsidRPr="00EA270F" w:rsidRDefault="00BE71BB">
            <w:pPr>
              <w:rPr>
                <w:rFonts w:asciiTheme="minorEastAsia" w:hAnsiTheme="minorEastAsia"/>
                <w:szCs w:val="21"/>
              </w:rPr>
            </w:pPr>
            <w:r w:rsidRPr="00EA270F">
              <w:rPr>
                <w:rFonts w:asciiTheme="minorEastAsia" w:hAnsiTheme="minorEastAsia" w:hint="eastAsia"/>
                <w:szCs w:val="21"/>
              </w:rPr>
              <w:t>田宇洲</w:t>
            </w:r>
          </w:p>
        </w:tc>
      </w:tr>
      <w:tr w:rsidR="00BE71BB" w:rsidRPr="009D1801" w:rsidTr="00BE71BB">
        <w:trPr>
          <w:trHeight w:val="270"/>
        </w:trPr>
        <w:tc>
          <w:tcPr>
            <w:tcW w:w="4318" w:type="dxa"/>
            <w:noWrap/>
            <w:hideMark/>
          </w:tcPr>
          <w:p w:rsidR="00BE71BB" w:rsidRPr="009D1801" w:rsidRDefault="00BE71BB">
            <w:r w:rsidRPr="009D1801">
              <w:rPr>
                <w:rFonts w:hint="eastAsia"/>
              </w:rPr>
              <w:t>上海清算所外币回购清算业务</w:t>
            </w:r>
          </w:p>
        </w:tc>
        <w:tc>
          <w:tcPr>
            <w:tcW w:w="2750" w:type="dxa"/>
            <w:noWrap/>
            <w:hideMark/>
          </w:tcPr>
          <w:p w:rsidR="00BE71BB" w:rsidRPr="009D1801" w:rsidRDefault="00BE71BB">
            <w:r w:rsidRPr="009D1801">
              <w:rPr>
                <w:rFonts w:hint="eastAsia"/>
              </w:rPr>
              <w:t>上海清算所</w:t>
            </w:r>
          </w:p>
        </w:tc>
        <w:tc>
          <w:tcPr>
            <w:tcW w:w="1418" w:type="dxa"/>
          </w:tcPr>
          <w:p w:rsidR="00BE71BB" w:rsidRPr="009D1801" w:rsidRDefault="00935C52">
            <w:r>
              <w:t>戴汝洁</w:t>
            </w:r>
          </w:p>
        </w:tc>
      </w:tr>
      <w:tr w:rsidR="00BE71BB" w:rsidRPr="009D1801" w:rsidTr="00BE71BB">
        <w:trPr>
          <w:trHeight w:val="270"/>
        </w:trPr>
        <w:tc>
          <w:tcPr>
            <w:tcW w:w="4318" w:type="dxa"/>
            <w:noWrap/>
            <w:hideMark/>
          </w:tcPr>
          <w:p w:rsidR="00BE71BB" w:rsidRPr="009D1801" w:rsidRDefault="00BE71BB" w:rsidP="00634641">
            <w:r w:rsidRPr="009D1801">
              <w:rPr>
                <w:rFonts w:hint="eastAsia"/>
              </w:rPr>
              <w:t>拓展票据融资功能</w:t>
            </w:r>
            <w:r>
              <w:rPr>
                <w:rFonts w:hint="eastAsia"/>
              </w:rPr>
              <w:t xml:space="preserve">  </w:t>
            </w:r>
            <w:r w:rsidRPr="009D1801">
              <w:rPr>
                <w:rFonts w:hint="eastAsia"/>
              </w:rPr>
              <w:t>服务民营小微企业</w:t>
            </w:r>
          </w:p>
        </w:tc>
        <w:tc>
          <w:tcPr>
            <w:tcW w:w="2750" w:type="dxa"/>
            <w:noWrap/>
            <w:hideMark/>
          </w:tcPr>
          <w:p w:rsidR="00BE71BB" w:rsidRPr="009D1801" w:rsidRDefault="00BE71BB">
            <w:r w:rsidRPr="009D1801">
              <w:rPr>
                <w:rFonts w:hint="eastAsia"/>
              </w:rPr>
              <w:t>上海票据交易所</w:t>
            </w:r>
          </w:p>
        </w:tc>
        <w:tc>
          <w:tcPr>
            <w:tcW w:w="1418" w:type="dxa"/>
          </w:tcPr>
          <w:p w:rsidR="00BE71BB" w:rsidRPr="00634641" w:rsidRDefault="00BE71BB" w:rsidP="00634641">
            <w:pPr>
              <w:spacing w:line="560" w:lineRule="exact"/>
              <w:jc w:val="center"/>
              <w:rPr>
                <w:rFonts w:asciiTheme="minorEastAsia" w:hAnsiTheme="minorEastAsia"/>
                <w:color w:val="000000" w:themeColor="text1"/>
                <w:szCs w:val="21"/>
              </w:rPr>
            </w:pPr>
            <w:r w:rsidRPr="00634641">
              <w:rPr>
                <w:rFonts w:asciiTheme="minorEastAsia" w:hAnsiTheme="minorEastAsia" w:hint="eastAsia"/>
                <w:color w:val="000000" w:themeColor="text1"/>
                <w:szCs w:val="21"/>
              </w:rPr>
              <w:t>孔燕</w:t>
            </w:r>
          </w:p>
        </w:tc>
      </w:tr>
      <w:tr w:rsidR="00BE71BB" w:rsidRPr="009D1801" w:rsidTr="00BE71BB">
        <w:trPr>
          <w:trHeight w:val="270"/>
        </w:trPr>
        <w:tc>
          <w:tcPr>
            <w:tcW w:w="4318" w:type="dxa"/>
            <w:noWrap/>
            <w:hideMark/>
          </w:tcPr>
          <w:p w:rsidR="00BE71BB" w:rsidRPr="009D1801" w:rsidRDefault="00BE71BB" w:rsidP="003C78F2">
            <w:r w:rsidRPr="009D1801">
              <w:rPr>
                <w:rFonts w:hint="eastAsia"/>
              </w:rPr>
              <w:t>推动人民币债券担保品在英国市场使用</w:t>
            </w:r>
          </w:p>
        </w:tc>
        <w:tc>
          <w:tcPr>
            <w:tcW w:w="2750" w:type="dxa"/>
            <w:noWrap/>
            <w:hideMark/>
          </w:tcPr>
          <w:p w:rsidR="00BE71BB" w:rsidRPr="009D1801" w:rsidRDefault="00BE71BB" w:rsidP="003C78F2">
            <w:r w:rsidRPr="009D1801">
              <w:rPr>
                <w:rFonts w:hint="eastAsia"/>
              </w:rPr>
              <w:t>中央结算公司</w:t>
            </w:r>
          </w:p>
        </w:tc>
        <w:tc>
          <w:tcPr>
            <w:tcW w:w="1418" w:type="dxa"/>
          </w:tcPr>
          <w:p w:rsidR="00BE71BB" w:rsidRPr="009D1801" w:rsidRDefault="00935C52" w:rsidP="003C78F2">
            <w:r>
              <w:t>徐良堆</w:t>
            </w:r>
          </w:p>
        </w:tc>
      </w:tr>
      <w:tr w:rsidR="00BE71BB" w:rsidRPr="009D1801" w:rsidTr="00BE71BB">
        <w:trPr>
          <w:trHeight w:val="270"/>
        </w:trPr>
        <w:tc>
          <w:tcPr>
            <w:tcW w:w="4318" w:type="dxa"/>
            <w:noWrap/>
            <w:hideMark/>
          </w:tcPr>
          <w:p w:rsidR="00BE71BB" w:rsidRPr="009D1801" w:rsidRDefault="00BE71BB" w:rsidP="003C78F2">
            <w:r w:rsidRPr="009D1801">
              <w:rPr>
                <w:rFonts w:hint="eastAsia"/>
              </w:rPr>
              <w:t>关于贵金属交易场所反洗钱内控体系建设的思考</w:t>
            </w:r>
          </w:p>
        </w:tc>
        <w:tc>
          <w:tcPr>
            <w:tcW w:w="2750" w:type="dxa"/>
            <w:noWrap/>
            <w:hideMark/>
          </w:tcPr>
          <w:p w:rsidR="00BE71BB" w:rsidRPr="009D1801" w:rsidRDefault="00BE71BB" w:rsidP="003C78F2">
            <w:r w:rsidRPr="009D1801">
              <w:rPr>
                <w:rFonts w:hint="eastAsia"/>
              </w:rPr>
              <w:t>上海黄金交易所</w:t>
            </w:r>
          </w:p>
        </w:tc>
        <w:tc>
          <w:tcPr>
            <w:tcW w:w="1418" w:type="dxa"/>
          </w:tcPr>
          <w:p w:rsidR="00BE71BB" w:rsidRPr="009D1801" w:rsidRDefault="00BE71BB" w:rsidP="003C78F2">
            <w:r w:rsidRPr="002B4205">
              <w:rPr>
                <w:rFonts w:asciiTheme="minorEastAsia" w:hAnsiTheme="minorEastAsia" w:cs="宋体" w:hint="eastAsia"/>
                <w:color w:val="000000"/>
                <w:kern w:val="0"/>
                <w:szCs w:val="21"/>
              </w:rPr>
              <w:t>年四伍</w:t>
            </w:r>
          </w:p>
        </w:tc>
      </w:tr>
      <w:tr w:rsidR="00BE71BB" w:rsidRPr="009D1801" w:rsidTr="00BE71BB">
        <w:trPr>
          <w:trHeight w:val="270"/>
        </w:trPr>
        <w:tc>
          <w:tcPr>
            <w:tcW w:w="4318" w:type="dxa"/>
            <w:noWrap/>
            <w:hideMark/>
          </w:tcPr>
          <w:p w:rsidR="00BE71BB" w:rsidRPr="009D1801" w:rsidRDefault="00BE71BB">
            <w:r w:rsidRPr="009D1801">
              <w:rPr>
                <w:rFonts w:hint="eastAsia"/>
              </w:rPr>
              <w:t>信用制度变迁下的票据市场功能演进与中小企业融资模式选择</w:t>
            </w:r>
          </w:p>
        </w:tc>
        <w:tc>
          <w:tcPr>
            <w:tcW w:w="2750" w:type="dxa"/>
            <w:noWrap/>
            <w:hideMark/>
          </w:tcPr>
          <w:p w:rsidR="00BE71BB" w:rsidRPr="009D1801" w:rsidRDefault="00BE71BB">
            <w:r w:rsidRPr="009D1801">
              <w:rPr>
                <w:rFonts w:hint="eastAsia"/>
              </w:rPr>
              <w:t>上海票据交易所</w:t>
            </w:r>
          </w:p>
        </w:tc>
        <w:tc>
          <w:tcPr>
            <w:tcW w:w="1418" w:type="dxa"/>
          </w:tcPr>
          <w:p w:rsidR="00BE71BB" w:rsidRPr="00EA270F" w:rsidRDefault="00BE71BB" w:rsidP="00EA270F">
            <w:pPr>
              <w:spacing w:line="560" w:lineRule="exact"/>
              <w:jc w:val="center"/>
              <w:rPr>
                <w:rFonts w:asciiTheme="minorEastAsia" w:hAnsiTheme="minorEastAsia" w:cs="Times New Roman"/>
                <w:szCs w:val="21"/>
              </w:rPr>
            </w:pPr>
            <w:r w:rsidRPr="00EA270F">
              <w:rPr>
                <w:rFonts w:asciiTheme="minorEastAsia" w:hAnsiTheme="minorEastAsia" w:cs="Times New Roman"/>
                <w:szCs w:val="21"/>
              </w:rPr>
              <w:t>汤莹玮</w:t>
            </w:r>
          </w:p>
        </w:tc>
      </w:tr>
      <w:tr w:rsidR="00BE71BB" w:rsidRPr="009D1801" w:rsidTr="00BE71BB">
        <w:trPr>
          <w:trHeight w:val="270"/>
        </w:trPr>
        <w:tc>
          <w:tcPr>
            <w:tcW w:w="4318" w:type="dxa"/>
            <w:noWrap/>
            <w:hideMark/>
          </w:tcPr>
          <w:p w:rsidR="00BE71BB" w:rsidRPr="009D1801" w:rsidRDefault="00BE71BB">
            <w:r w:rsidRPr="009D1801">
              <w:rPr>
                <w:rFonts w:hint="eastAsia"/>
              </w:rPr>
              <w:t>民营银行在线支付体系建设探讨</w:t>
            </w:r>
          </w:p>
        </w:tc>
        <w:tc>
          <w:tcPr>
            <w:tcW w:w="2750" w:type="dxa"/>
            <w:noWrap/>
            <w:hideMark/>
          </w:tcPr>
          <w:p w:rsidR="00BE71BB" w:rsidRPr="009D1801" w:rsidRDefault="00BE71BB">
            <w:r w:rsidRPr="009D1801">
              <w:rPr>
                <w:rFonts w:hint="eastAsia"/>
              </w:rPr>
              <w:t>城银清算服务有限责任公司</w:t>
            </w:r>
          </w:p>
        </w:tc>
        <w:tc>
          <w:tcPr>
            <w:tcW w:w="1418" w:type="dxa"/>
          </w:tcPr>
          <w:p w:rsidR="00BE71BB" w:rsidRPr="002B4205" w:rsidRDefault="00BE71BB">
            <w:pPr>
              <w:rPr>
                <w:rFonts w:asciiTheme="minorEastAsia" w:hAnsiTheme="minorEastAsia"/>
                <w:szCs w:val="21"/>
              </w:rPr>
            </w:pPr>
            <w:r w:rsidRPr="002B4205">
              <w:rPr>
                <w:rFonts w:asciiTheme="minorEastAsia" w:hAnsiTheme="minorEastAsia" w:hint="eastAsia"/>
                <w:szCs w:val="21"/>
              </w:rPr>
              <w:t>葛向科</w:t>
            </w:r>
          </w:p>
        </w:tc>
      </w:tr>
      <w:tr w:rsidR="00BE71BB" w:rsidRPr="009D1801" w:rsidTr="00BE71BB">
        <w:trPr>
          <w:trHeight w:val="270"/>
        </w:trPr>
        <w:tc>
          <w:tcPr>
            <w:tcW w:w="4318" w:type="dxa"/>
            <w:noWrap/>
            <w:hideMark/>
          </w:tcPr>
          <w:p w:rsidR="00BE71BB" w:rsidRPr="009D1801" w:rsidRDefault="00BE71BB">
            <w:r w:rsidRPr="009D1801">
              <w:rPr>
                <w:rFonts w:hint="eastAsia"/>
              </w:rPr>
              <w:t>境内外机构对公支付业务研究及相关建议</w:t>
            </w:r>
          </w:p>
        </w:tc>
        <w:tc>
          <w:tcPr>
            <w:tcW w:w="2750" w:type="dxa"/>
            <w:noWrap/>
            <w:hideMark/>
          </w:tcPr>
          <w:p w:rsidR="00BE71BB" w:rsidRPr="009D1801" w:rsidRDefault="00BE71BB">
            <w:r w:rsidRPr="009D1801">
              <w:rPr>
                <w:rFonts w:hint="eastAsia"/>
              </w:rPr>
              <w:t>中国银联</w:t>
            </w:r>
          </w:p>
        </w:tc>
        <w:tc>
          <w:tcPr>
            <w:tcW w:w="1418" w:type="dxa"/>
          </w:tcPr>
          <w:p w:rsidR="00BE71BB" w:rsidRPr="002B4205" w:rsidRDefault="00BE71BB">
            <w:pPr>
              <w:rPr>
                <w:rFonts w:asciiTheme="minorEastAsia" w:hAnsiTheme="minorEastAsia"/>
                <w:szCs w:val="21"/>
              </w:rPr>
            </w:pPr>
            <w:r w:rsidRPr="002B4205">
              <w:rPr>
                <w:rFonts w:asciiTheme="minorEastAsia" w:hAnsiTheme="minorEastAsia" w:hint="eastAsia"/>
                <w:szCs w:val="21"/>
              </w:rPr>
              <w:t>朱煜</w:t>
            </w:r>
          </w:p>
        </w:tc>
      </w:tr>
      <w:tr w:rsidR="00BE71BB" w:rsidRPr="009D1801" w:rsidTr="00BE71BB">
        <w:trPr>
          <w:trHeight w:val="270"/>
        </w:trPr>
        <w:tc>
          <w:tcPr>
            <w:tcW w:w="4318" w:type="dxa"/>
            <w:noWrap/>
            <w:hideMark/>
          </w:tcPr>
          <w:p w:rsidR="00BE71BB" w:rsidRPr="009D1801" w:rsidRDefault="00BE71BB">
            <w:r w:rsidRPr="009D1801">
              <w:rPr>
                <w:rFonts w:hint="eastAsia"/>
              </w:rPr>
              <w:t>支付系统风险研究</w:t>
            </w:r>
          </w:p>
        </w:tc>
        <w:tc>
          <w:tcPr>
            <w:tcW w:w="2750" w:type="dxa"/>
            <w:noWrap/>
            <w:hideMark/>
          </w:tcPr>
          <w:p w:rsidR="00BE71BB" w:rsidRPr="009D1801" w:rsidRDefault="00BE71BB">
            <w:r w:rsidRPr="009D1801">
              <w:rPr>
                <w:rFonts w:hint="eastAsia"/>
              </w:rPr>
              <w:t>城银清算服务有限责任公司</w:t>
            </w:r>
          </w:p>
        </w:tc>
        <w:tc>
          <w:tcPr>
            <w:tcW w:w="1418" w:type="dxa"/>
          </w:tcPr>
          <w:p w:rsidR="00BE71BB" w:rsidRPr="009D1801" w:rsidRDefault="00935C52">
            <w:r>
              <w:t>陈昌源</w:t>
            </w:r>
          </w:p>
        </w:tc>
      </w:tr>
      <w:tr w:rsidR="00BE71BB" w:rsidRPr="009D1801" w:rsidTr="00BE71BB">
        <w:trPr>
          <w:trHeight w:val="270"/>
        </w:trPr>
        <w:tc>
          <w:tcPr>
            <w:tcW w:w="4318" w:type="dxa"/>
            <w:noWrap/>
            <w:hideMark/>
          </w:tcPr>
          <w:p w:rsidR="00BE71BB" w:rsidRPr="009D1801" w:rsidRDefault="00BE71BB">
            <w:r w:rsidRPr="009D1801">
              <w:rPr>
                <w:rFonts w:hint="eastAsia"/>
              </w:rPr>
              <w:t>上股交服务中小企业的做法和成效</w:t>
            </w:r>
          </w:p>
        </w:tc>
        <w:tc>
          <w:tcPr>
            <w:tcW w:w="2750" w:type="dxa"/>
            <w:noWrap/>
            <w:hideMark/>
          </w:tcPr>
          <w:p w:rsidR="00BE71BB" w:rsidRPr="009D1801" w:rsidRDefault="00BE71BB">
            <w:r w:rsidRPr="009D1801">
              <w:rPr>
                <w:rFonts w:hint="eastAsia"/>
              </w:rPr>
              <w:t>上海股权托管交易中心</w:t>
            </w:r>
          </w:p>
        </w:tc>
        <w:tc>
          <w:tcPr>
            <w:tcW w:w="1418" w:type="dxa"/>
          </w:tcPr>
          <w:p w:rsidR="00BE71BB" w:rsidRPr="009D1801" w:rsidRDefault="0022029C">
            <w:r w:rsidRPr="0022029C">
              <w:rPr>
                <w:rFonts w:hint="eastAsia"/>
              </w:rPr>
              <w:t>张云峰</w:t>
            </w:r>
          </w:p>
        </w:tc>
      </w:tr>
      <w:tr w:rsidR="00BE71BB" w:rsidRPr="009D1801" w:rsidTr="00BE71BB">
        <w:trPr>
          <w:trHeight w:val="270"/>
        </w:trPr>
        <w:tc>
          <w:tcPr>
            <w:tcW w:w="4318" w:type="dxa"/>
            <w:noWrap/>
            <w:hideMark/>
          </w:tcPr>
          <w:p w:rsidR="00BE71BB" w:rsidRPr="009D1801" w:rsidRDefault="00BE71BB" w:rsidP="00133F0C">
            <w:r w:rsidRPr="009D1801">
              <w:rPr>
                <w:rFonts w:hint="eastAsia"/>
              </w:rPr>
              <w:t>碳排放权交易市场清算结算体系建设—国际经验与中国启示研究</w:t>
            </w:r>
          </w:p>
        </w:tc>
        <w:tc>
          <w:tcPr>
            <w:tcW w:w="2750" w:type="dxa"/>
            <w:noWrap/>
            <w:hideMark/>
          </w:tcPr>
          <w:p w:rsidR="00BE71BB" w:rsidRPr="009D1801" w:rsidRDefault="00BE71BB">
            <w:r w:rsidRPr="009D1801">
              <w:rPr>
                <w:rFonts w:hint="eastAsia"/>
              </w:rPr>
              <w:t>上海清算所</w:t>
            </w:r>
          </w:p>
        </w:tc>
        <w:tc>
          <w:tcPr>
            <w:tcW w:w="1418" w:type="dxa"/>
          </w:tcPr>
          <w:p w:rsidR="00BE71BB" w:rsidRPr="002B4205" w:rsidRDefault="00BE71BB">
            <w:pPr>
              <w:rPr>
                <w:rFonts w:asciiTheme="minorEastAsia" w:hAnsiTheme="minorEastAsia"/>
                <w:szCs w:val="21"/>
              </w:rPr>
            </w:pPr>
            <w:r w:rsidRPr="002B4205">
              <w:rPr>
                <w:rFonts w:asciiTheme="minorEastAsia" w:hAnsiTheme="minorEastAsia" w:hint="eastAsia"/>
                <w:szCs w:val="21"/>
              </w:rPr>
              <w:t>谢言</w:t>
            </w:r>
          </w:p>
        </w:tc>
      </w:tr>
      <w:tr w:rsidR="00BE71BB" w:rsidRPr="009D1801" w:rsidTr="00BE71BB">
        <w:trPr>
          <w:trHeight w:val="270"/>
        </w:trPr>
        <w:tc>
          <w:tcPr>
            <w:tcW w:w="4318" w:type="dxa"/>
            <w:noWrap/>
            <w:hideMark/>
          </w:tcPr>
          <w:p w:rsidR="00BE71BB" w:rsidRPr="009D1801" w:rsidRDefault="00BE71BB">
            <w:r w:rsidRPr="009D1801">
              <w:rPr>
                <w:rFonts w:hint="eastAsia"/>
              </w:rPr>
              <w:t>全球电力期货市场概况及合约特点分析</w:t>
            </w:r>
          </w:p>
        </w:tc>
        <w:tc>
          <w:tcPr>
            <w:tcW w:w="2750" w:type="dxa"/>
            <w:noWrap/>
            <w:hideMark/>
          </w:tcPr>
          <w:p w:rsidR="00BE71BB" w:rsidRPr="009D1801" w:rsidRDefault="00BE71BB">
            <w:r w:rsidRPr="009D1801">
              <w:rPr>
                <w:rFonts w:hint="eastAsia"/>
              </w:rPr>
              <w:t>上海期货交易所</w:t>
            </w:r>
          </w:p>
        </w:tc>
        <w:tc>
          <w:tcPr>
            <w:tcW w:w="1418" w:type="dxa"/>
          </w:tcPr>
          <w:p w:rsidR="00BE71BB" w:rsidRPr="00EA270F" w:rsidRDefault="00BE71BB">
            <w:pPr>
              <w:rPr>
                <w:rFonts w:asciiTheme="minorEastAsia" w:hAnsiTheme="minorEastAsia"/>
                <w:szCs w:val="21"/>
              </w:rPr>
            </w:pPr>
            <w:r w:rsidRPr="00EA270F">
              <w:rPr>
                <w:rFonts w:asciiTheme="minorEastAsia" w:hAnsiTheme="minorEastAsia"/>
                <w:szCs w:val="21"/>
              </w:rPr>
              <w:t>陆振翔</w:t>
            </w:r>
          </w:p>
        </w:tc>
      </w:tr>
      <w:tr w:rsidR="00BE71BB" w:rsidRPr="009D1801" w:rsidTr="00BE71BB">
        <w:trPr>
          <w:trHeight w:val="270"/>
        </w:trPr>
        <w:tc>
          <w:tcPr>
            <w:tcW w:w="4318" w:type="dxa"/>
            <w:noWrap/>
            <w:hideMark/>
          </w:tcPr>
          <w:p w:rsidR="00BE71BB" w:rsidRPr="009D1801" w:rsidRDefault="00BE71BB">
            <w:r w:rsidRPr="009D1801">
              <w:rPr>
                <w:rFonts w:hint="eastAsia"/>
              </w:rPr>
              <w:t>商业银行运用国债期货助力宏观审慎监管</w:t>
            </w:r>
          </w:p>
        </w:tc>
        <w:tc>
          <w:tcPr>
            <w:tcW w:w="2750" w:type="dxa"/>
            <w:noWrap/>
            <w:hideMark/>
          </w:tcPr>
          <w:p w:rsidR="00BE71BB" w:rsidRPr="009D1801" w:rsidRDefault="00BE71BB">
            <w:r w:rsidRPr="009D1801">
              <w:rPr>
                <w:rFonts w:hint="eastAsia"/>
              </w:rPr>
              <w:t>中国金融期货交易所</w:t>
            </w:r>
          </w:p>
        </w:tc>
        <w:tc>
          <w:tcPr>
            <w:tcW w:w="1418" w:type="dxa"/>
          </w:tcPr>
          <w:p w:rsidR="00BE71BB" w:rsidRPr="002B4205" w:rsidRDefault="00BE71BB">
            <w:pPr>
              <w:rPr>
                <w:rFonts w:asciiTheme="minorEastAsia" w:hAnsiTheme="minorEastAsia"/>
                <w:szCs w:val="21"/>
              </w:rPr>
            </w:pPr>
            <w:r w:rsidRPr="002B4205">
              <w:rPr>
                <w:rFonts w:asciiTheme="minorEastAsia" w:hAnsiTheme="minorEastAsia" w:cs="Times New Roman"/>
                <w:szCs w:val="21"/>
              </w:rPr>
              <w:t>张晟畅</w:t>
            </w:r>
          </w:p>
        </w:tc>
      </w:tr>
      <w:tr w:rsidR="00BE71BB" w:rsidRPr="009D1801" w:rsidTr="00BE71BB">
        <w:trPr>
          <w:trHeight w:val="270"/>
        </w:trPr>
        <w:tc>
          <w:tcPr>
            <w:tcW w:w="4318" w:type="dxa"/>
            <w:noWrap/>
            <w:hideMark/>
          </w:tcPr>
          <w:p w:rsidR="00BE71BB" w:rsidRPr="009D1801" w:rsidRDefault="00BE71BB">
            <w:r w:rsidRPr="009D1801">
              <w:rPr>
                <w:rFonts w:hint="eastAsia"/>
              </w:rPr>
              <w:t>外汇期货市场建设与金融供给侧结构性改革</w:t>
            </w:r>
          </w:p>
        </w:tc>
        <w:tc>
          <w:tcPr>
            <w:tcW w:w="2750" w:type="dxa"/>
            <w:noWrap/>
            <w:hideMark/>
          </w:tcPr>
          <w:p w:rsidR="00BE71BB" w:rsidRPr="009D1801" w:rsidRDefault="00BE71BB">
            <w:r w:rsidRPr="009D1801">
              <w:rPr>
                <w:rFonts w:hint="eastAsia"/>
              </w:rPr>
              <w:t>中国金融期货交易所</w:t>
            </w:r>
          </w:p>
        </w:tc>
        <w:tc>
          <w:tcPr>
            <w:tcW w:w="1418" w:type="dxa"/>
          </w:tcPr>
          <w:p w:rsidR="00BE71BB" w:rsidRPr="009D1801" w:rsidRDefault="00264326">
            <w:r w:rsidRPr="00264326">
              <w:rPr>
                <w:rFonts w:hint="eastAsia"/>
              </w:rPr>
              <w:t>徐艺泰</w:t>
            </w:r>
          </w:p>
        </w:tc>
      </w:tr>
      <w:tr w:rsidR="00BE71BB" w:rsidRPr="009D1801" w:rsidTr="00BE71BB">
        <w:trPr>
          <w:trHeight w:val="270"/>
        </w:trPr>
        <w:tc>
          <w:tcPr>
            <w:tcW w:w="4318" w:type="dxa"/>
            <w:noWrap/>
            <w:hideMark/>
          </w:tcPr>
          <w:p w:rsidR="00BE71BB" w:rsidRPr="009D1801" w:rsidRDefault="00BE71BB">
            <w:r w:rsidRPr="009D1801">
              <w:rPr>
                <w:rFonts w:hint="eastAsia"/>
              </w:rPr>
              <w:t>国债期货和股指期货组合套保信用债研究</w:t>
            </w:r>
          </w:p>
        </w:tc>
        <w:tc>
          <w:tcPr>
            <w:tcW w:w="2750" w:type="dxa"/>
            <w:noWrap/>
            <w:hideMark/>
          </w:tcPr>
          <w:p w:rsidR="00BE71BB" w:rsidRPr="009D1801" w:rsidRDefault="00BE71BB">
            <w:r w:rsidRPr="009D1801">
              <w:rPr>
                <w:rFonts w:hint="eastAsia"/>
              </w:rPr>
              <w:t>中国金融期货交易所</w:t>
            </w:r>
          </w:p>
        </w:tc>
        <w:tc>
          <w:tcPr>
            <w:tcW w:w="1418" w:type="dxa"/>
          </w:tcPr>
          <w:p w:rsidR="00BE71BB" w:rsidRPr="00EA270F" w:rsidRDefault="00BE71BB" w:rsidP="00EA270F">
            <w:pPr>
              <w:pStyle w:val="a6"/>
              <w:ind w:firstLineChars="0" w:firstLine="0"/>
              <w:jc w:val="center"/>
              <w:rPr>
                <w:rFonts w:asciiTheme="minorEastAsia" w:eastAsiaTheme="minorEastAsia" w:hAnsiTheme="minorEastAsia" w:cs="Times New Roman"/>
                <w:color w:val="000000"/>
                <w:sz w:val="21"/>
                <w:szCs w:val="21"/>
              </w:rPr>
            </w:pPr>
            <w:r w:rsidRPr="00EA270F">
              <w:rPr>
                <w:rFonts w:asciiTheme="minorEastAsia" w:eastAsiaTheme="minorEastAsia" w:hAnsiTheme="minorEastAsia" w:cs="Times New Roman" w:hint="eastAsia"/>
                <w:color w:val="000000"/>
                <w:sz w:val="21"/>
                <w:szCs w:val="21"/>
              </w:rPr>
              <w:t>王玮</w:t>
            </w:r>
            <w:bookmarkStart w:id="0" w:name="_GoBack"/>
            <w:bookmarkEnd w:id="0"/>
          </w:p>
        </w:tc>
      </w:tr>
      <w:tr w:rsidR="00BE71BB" w:rsidRPr="009D1801" w:rsidTr="00BE71BB">
        <w:trPr>
          <w:trHeight w:val="270"/>
        </w:trPr>
        <w:tc>
          <w:tcPr>
            <w:tcW w:w="4318" w:type="dxa"/>
            <w:noWrap/>
            <w:hideMark/>
          </w:tcPr>
          <w:p w:rsidR="00BE71BB" w:rsidRPr="009D1801" w:rsidRDefault="00BE71BB">
            <w:r w:rsidRPr="009D1801">
              <w:rPr>
                <w:rFonts w:hint="eastAsia"/>
              </w:rPr>
              <w:t>票据业务在供应链金融中的创新应用</w:t>
            </w:r>
          </w:p>
        </w:tc>
        <w:tc>
          <w:tcPr>
            <w:tcW w:w="2750" w:type="dxa"/>
            <w:noWrap/>
            <w:hideMark/>
          </w:tcPr>
          <w:p w:rsidR="00BE71BB" w:rsidRPr="009D1801" w:rsidRDefault="00BE71BB">
            <w:r w:rsidRPr="009D1801">
              <w:rPr>
                <w:rFonts w:hint="eastAsia"/>
              </w:rPr>
              <w:t>上海票据交易所</w:t>
            </w:r>
          </w:p>
        </w:tc>
        <w:tc>
          <w:tcPr>
            <w:tcW w:w="1418" w:type="dxa"/>
          </w:tcPr>
          <w:p w:rsidR="00BE71BB" w:rsidRPr="00EA270F" w:rsidRDefault="00BE71BB">
            <w:pPr>
              <w:rPr>
                <w:rFonts w:asciiTheme="minorEastAsia" w:hAnsiTheme="minorEastAsia"/>
                <w:szCs w:val="21"/>
              </w:rPr>
            </w:pPr>
            <w:r w:rsidRPr="00EA270F">
              <w:rPr>
                <w:rFonts w:asciiTheme="minorEastAsia" w:hAnsiTheme="minorEastAsia" w:hint="eastAsia"/>
                <w:szCs w:val="21"/>
              </w:rPr>
              <w:t>张艳宁</w:t>
            </w:r>
          </w:p>
        </w:tc>
      </w:tr>
      <w:tr w:rsidR="00BE71BB" w:rsidRPr="009D1801" w:rsidTr="00BE71BB">
        <w:trPr>
          <w:trHeight w:val="270"/>
        </w:trPr>
        <w:tc>
          <w:tcPr>
            <w:tcW w:w="4318" w:type="dxa"/>
            <w:noWrap/>
            <w:hideMark/>
          </w:tcPr>
          <w:p w:rsidR="00BE71BB" w:rsidRPr="009D1801" w:rsidRDefault="00BE71BB">
            <w:r w:rsidRPr="009D1801">
              <w:rPr>
                <w:rFonts w:hint="eastAsia"/>
              </w:rPr>
              <w:t>云应用管理平台技术研究</w:t>
            </w:r>
          </w:p>
        </w:tc>
        <w:tc>
          <w:tcPr>
            <w:tcW w:w="2750" w:type="dxa"/>
            <w:noWrap/>
            <w:hideMark/>
          </w:tcPr>
          <w:p w:rsidR="00BE71BB" w:rsidRPr="009D1801" w:rsidRDefault="00BE71BB">
            <w:r w:rsidRPr="009D1801">
              <w:rPr>
                <w:rFonts w:hint="eastAsia"/>
              </w:rPr>
              <w:t>中国证券登记结算有限责任公司上海分公司</w:t>
            </w:r>
          </w:p>
        </w:tc>
        <w:tc>
          <w:tcPr>
            <w:tcW w:w="1418" w:type="dxa"/>
          </w:tcPr>
          <w:p w:rsidR="00BE71BB" w:rsidRPr="00EA270F" w:rsidRDefault="00BE71BB">
            <w:pPr>
              <w:rPr>
                <w:rFonts w:asciiTheme="minorEastAsia" w:hAnsiTheme="minorEastAsia"/>
                <w:szCs w:val="21"/>
              </w:rPr>
            </w:pPr>
            <w:r w:rsidRPr="00EA270F">
              <w:rPr>
                <w:rFonts w:asciiTheme="minorEastAsia" w:hAnsiTheme="minorEastAsia"/>
                <w:szCs w:val="21"/>
              </w:rPr>
              <w:t>陈林博</w:t>
            </w:r>
          </w:p>
        </w:tc>
      </w:tr>
      <w:tr w:rsidR="00BE71BB" w:rsidRPr="009D1801" w:rsidTr="00BE71BB">
        <w:trPr>
          <w:trHeight w:val="270"/>
        </w:trPr>
        <w:tc>
          <w:tcPr>
            <w:tcW w:w="4318" w:type="dxa"/>
            <w:noWrap/>
            <w:hideMark/>
          </w:tcPr>
          <w:p w:rsidR="00BE71BB" w:rsidRPr="009D1801" w:rsidRDefault="00BE71BB">
            <w:r w:rsidRPr="009D1801">
              <w:rPr>
                <w:rFonts w:hint="eastAsia"/>
              </w:rPr>
              <w:t>我国跨境金融衍生品交易改革路径研究</w:t>
            </w:r>
          </w:p>
        </w:tc>
        <w:tc>
          <w:tcPr>
            <w:tcW w:w="2750" w:type="dxa"/>
            <w:noWrap/>
            <w:hideMark/>
          </w:tcPr>
          <w:p w:rsidR="00BE71BB" w:rsidRPr="009D1801" w:rsidRDefault="00BE71BB">
            <w:r w:rsidRPr="009D1801">
              <w:rPr>
                <w:rFonts w:hint="eastAsia"/>
              </w:rPr>
              <w:t>中国金融期货交易所</w:t>
            </w:r>
          </w:p>
        </w:tc>
        <w:tc>
          <w:tcPr>
            <w:tcW w:w="1418" w:type="dxa"/>
          </w:tcPr>
          <w:p w:rsidR="00BE71BB" w:rsidRPr="009D1801" w:rsidRDefault="0022029C">
            <w:r w:rsidRPr="0022029C">
              <w:rPr>
                <w:rFonts w:hint="eastAsia"/>
              </w:rPr>
              <w:t>付蓉</w:t>
            </w:r>
          </w:p>
        </w:tc>
      </w:tr>
      <w:tr w:rsidR="00BE71BB" w:rsidRPr="009D1801" w:rsidTr="00BE71BB">
        <w:trPr>
          <w:trHeight w:val="270"/>
        </w:trPr>
        <w:tc>
          <w:tcPr>
            <w:tcW w:w="4318" w:type="dxa"/>
            <w:noWrap/>
            <w:hideMark/>
          </w:tcPr>
          <w:p w:rsidR="00BE71BB" w:rsidRPr="009D1801" w:rsidRDefault="00BE71BB">
            <w:r w:rsidRPr="009D1801">
              <w:rPr>
                <w:rFonts w:hint="eastAsia"/>
              </w:rPr>
              <w:t>关于绿色消费金融营销的实践研究</w:t>
            </w:r>
          </w:p>
        </w:tc>
        <w:tc>
          <w:tcPr>
            <w:tcW w:w="2750" w:type="dxa"/>
            <w:noWrap/>
            <w:hideMark/>
          </w:tcPr>
          <w:p w:rsidR="00BE71BB" w:rsidRPr="009D1801" w:rsidRDefault="00BE71BB">
            <w:r w:rsidRPr="009D1801">
              <w:rPr>
                <w:rFonts w:hint="eastAsia"/>
              </w:rPr>
              <w:t>申能财务有限公司</w:t>
            </w:r>
          </w:p>
        </w:tc>
        <w:tc>
          <w:tcPr>
            <w:tcW w:w="1418" w:type="dxa"/>
          </w:tcPr>
          <w:p w:rsidR="00BE71BB" w:rsidRPr="009D1801" w:rsidRDefault="0022029C">
            <w:r>
              <w:t>杜心红</w:t>
            </w:r>
          </w:p>
        </w:tc>
      </w:tr>
      <w:tr w:rsidR="00BE71BB" w:rsidRPr="009D1801" w:rsidTr="00BE71BB">
        <w:trPr>
          <w:trHeight w:val="270"/>
        </w:trPr>
        <w:tc>
          <w:tcPr>
            <w:tcW w:w="4318" w:type="dxa"/>
            <w:noWrap/>
            <w:hideMark/>
          </w:tcPr>
          <w:p w:rsidR="00BE71BB" w:rsidRPr="009D1801" w:rsidRDefault="00BE71BB">
            <w:r w:rsidRPr="009D1801">
              <w:rPr>
                <w:rFonts w:hint="eastAsia"/>
              </w:rPr>
              <w:t>对加强黄金市场洗钱风险防控的思考</w:t>
            </w:r>
          </w:p>
        </w:tc>
        <w:tc>
          <w:tcPr>
            <w:tcW w:w="2750" w:type="dxa"/>
            <w:noWrap/>
            <w:hideMark/>
          </w:tcPr>
          <w:p w:rsidR="00BE71BB" w:rsidRPr="009D1801" w:rsidRDefault="00BE71BB">
            <w:r w:rsidRPr="009D1801">
              <w:rPr>
                <w:rFonts w:hint="eastAsia"/>
              </w:rPr>
              <w:t>上海黄金交易所</w:t>
            </w:r>
          </w:p>
        </w:tc>
        <w:tc>
          <w:tcPr>
            <w:tcW w:w="1418" w:type="dxa"/>
          </w:tcPr>
          <w:p w:rsidR="00BE71BB" w:rsidRPr="002B4205" w:rsidRDefault="00BE71BB">
            <w:pPr>
              <w:rPr>
                <w:szCs w:val="21"/>
              </w:rPr>
            </w:pPr>
            <w:r w:rsidRPr="002B4205">
              <w:rPr>
                <w:rFonts w:asciiTheme="minorEastAsia" w:hAnsiTheme="minorEastAsia" w:cs="宋体" w:hint="eastAsia"/>
                <w:color w:val="000000"/>
                <w:kern w:val="0"/>
                <w:szCs w:val="21"/>
              </w:rPr>
              <w:t>年四伍</w:t>
            </w:r>
          </w:p>
        </w:tc>
      </w:tr>
      <w:tr w:rsidR="00BE71BB" w:rsidRPr="009D1801" w:rsidTr="00BE71BB">
        <w:trPr>
          <w:trHeight w:val="270"/>
        </w:trPr>
        <w:tc>
          <w:tcPr>
            <w:tcW w:w="4318" w:type="dxa"/>
            <w:noWrap/>
            <w:hideMark/>
          </w:tcPr>
          <w:p w:rsidR="00BE71BB" w:rsidRPr="009D1801" w:rsidRDefault="00BE71BB">
            <w:r w:rsidRPr="009D1801">
              <w:rPr>
                <w:rFonts w:hint="eastAsia"/>
              </w:rPr>
              <w:t>国内科创企业海外</w:t>
            </w:r>
            <w:r w:rsidRPr="009D1801">
              <w:rPr>
                <w:rFonts w:hint="eastAsia"/>
              </w:rPr>
              <w:t>IPO</w:t>
            </w:r>
            <w:r w:rsidRPr="009D1801">
              <w:rPr>
                <w:rFonts w:hint="eastAsia"/>
              </w:rPr>
              <w:t>情况研究</w:t>
            </w:r>
          </w:p>
        </w:tc>
        <w:tc>
          <w:tcPr>
            <w:tcW w:w="2750" w:type="dxa"/>
            <w:noWrap/>
            <w:hideMark/>
          </w:tcPr>
          <w:p w:rsidR="00BE71BB" w:rsidRPr="009D1801" w:rsidRDefault="00BE71BB">
            <w:r w:rsidRPr="009D1801">
              <w:rPr>
                <w:rFonts w:hint="eastAsia"/>
              </w:rPr>
              <w:t>上海证券交易所</w:t>
            </w:r>
          </w:p>
        </w:tc>
        <w:tc>
          <w:tcPr>
            <w:tcW w:w="1418" w:type="dxa"/>
          </w:tcPr>
          <w:p w:rsidR="00BE71BB" w:rsidRPr="009D1801" w:rsidRDefault="0022029C">
            <w:r w:rsidRPr="0022029C">
              <w:rPr>
                <w:rFonts w:hint="eastAsia"/>
              </w:rPr>
              <w:t>李怡芳</w:t>
            </w:r>
          </w:p>
        </w:tc>
      </w:tr>
      <w:tr w:rsidR="00BE71BB" w:rsidRPr="009D1801" w:rsidTr="00BE71BB">
        <w:trPr>
          <w:trHeight w:val="270"/>
        </w:trPr>
        <w:tc>
          <w:tcPr>
            <w:tcW w:w="4318" w:type="dxa"/>
            <w:noWrap/>
            <w:hideMark/>
          </w:tcPr>
          <w:p w:rsidR="00BE71BB" w:rsidRPr="009D1801" w:rsidRDefault="00BE71BB">
            <w:r w:rsidRPr="009D1801">
              <w:rPr>
                <w:rFonts w:hint="eastAsia"/>
              </w:rPr>
              <w:t>完善我国黄金交易增值税政策的建议</w:t>
            </w:r>
          </w:p>
        </w:tc>
        <w:tc>
          <w:tcPr>
            <w:tcW w:w="2750" w:type="dxa"/>
            <w:noWrap/>
            <w:hideMark/>
          </w:tcPr>
          <w:p w:rsidR="00BE71BB" w:rsidRPr="009D1801" w:rsidRDefault="00BE71BB">
            <w:r w:rsidRPr="009D1801">
              <w:rPr>
                <w:rFonts w:hint="eastAsia"/>
              </w:rPr>
              <w:t>上海黄金交易所</w:t>
            </w:r>
          </w:p>
        </w:tc>
        <w:tc>
          <w:tcPr>
            <w:tcW w:w="1418" w:type="dxa"/>
          </w:tcPr>
          <w:p w:rsidR="00BE71BB" w:rsidRPr="002B4205" w:rsidRDefault="00BE71BB">
            <w:pPr>
              <w:rPr>
                <w:szCs w:val="21"/>
              </w:rPr>
            </w:pPr>
            <w:r w:rsidRPr="002B4205">
              <w:rPr>
                <w:rStyle w:val="fontstyle01"/>
                <w:rFonts w:hint="default"/>
                <w:sz w:val="21"/>
                <w:szCs w:val="21"/>
              </w:rPr>
              <w:t>戴新竹</w:t>
            </w:r>
          </w:p>
        </w:tc>
      </w:tr>
      <w:tr w:rsidR="00BE71BB" w:rsidRPr="009D1801" w:rsidTr="00BE71BB">
        <w:trPr>
          <w:trHeight w:val="270"/>
        </w:trPr>
        <w:tc>
          <w:tcPr>
            <w:tcW w:w="4318" w:type="dxa"/>
            <w:noWrap/>
            <w:hideMark/>
          </w:tcPr>
          <w:p w:rsidR="00BE71BB" w:rsidRPr="009D1801" w:rsidRDefault="00BE71BB">
            <w:r w:rsidRPr="009D1801">
              <w:rPr>
                <w:rFonts w:hint="eastAsia"/>
              </w:rPr>
              <w:t>生物特征识别技术与下一代支付发展研究</w:t>
            </w:r>
          </w:p>
        </w:tc>
        <w:tc>
          <w:tcPr>
            <w:tcW w:w="2750" w:type="dxa"/>
            <w:noWrap/>
            <w:hideMark/>
          </w:tcPr>
          <w:p w:rsidR="00BE71BB" w:rsidRPr="009D1801" w:rsidRDefault="00BE71BB">
            <w:r w:rsidRPr="009D1801">
              <w:rPr>
                <w:rFonts w:hint="eastAsia"/>
              </w:rPr>
              <w:t>中国银联</w:t>
            </w:r>
          </w:p>
        </w:tc>
        <w:tc>
          <w:tcPr>
            <w:tcW w:w="1418" w:type="dxa"/>
          </w:tcPr>
          <w:p w:rsidR="00BE71BB" w:rsidRPr="002B4205" w:rsidRDefault="00BE71BB">
            <w:pPr>
              <w:rPr>
                <w:rFonts w:asciiTheme="minorEastAsia" w:hAnsiTheme="minorEastAsia"/>
                <w:szCs w:val="21"/>
              </w:rPr>
            </w:pPr>
            <w:r w:rsidRPr="002B4205">
              <w:rPr>
                <w:rFonts w:asciiTheme="minorEastAsia" w:hAnsiTheme="minorEastAsia" w:hint="eastAsia"/>
                <w:szCs w:val="21"/>
              </w:rPr>
              <w:t>农蓓</w:t>
            </w:r>
          </w:p>
        </w:tc>
      </w:tr>
      <w:tr w:rsidR="00BE71BB" w:rsidRPr="009D1801" w:rsidTr="00BE71BB">
        <w:trPr>
          <w:trHeight w:val="270"/>
        </w:trPr>
        <w:tc>
          <w:tcPr>
            <w:tcW w:w="4318" w:type="dxa"/>
            <w:noWrap/>
            <w:hideMark/>
          </w:tcPr>
          <w:p w:rsidR="00BE71BB" w:rsidRPr="009D1801" w:rsidRDefault="00BE71BB">
            <w:r w:rsidRPr="009D1801">
              <w:rPr>
                <w:rFonts w:hint="eastAsia"/>
              </w:rPr>
              <w:t>债券收益率在利率并轨中的作用调研报告</w:t>
            </w:r>
          </w:p>
        </w:tc>
        <w:tc>
          <w:tcPr>
            <w:tcW w:w="2750" w:type="dxa"/>
            <w:noWrap/>
            <w:hideMark/>
          </w:tcPr>
          <w:p w:rsidR="00BE71BB" w:rsidRPr="009D1801" w:rsidRDefault="00BE71BB">
            <w:r w:rsidRPr="009D1801">
              <w:rPr>
                <w:rFonts w:hint="eastAsia"/>
              </w:rPr>
              <w:t>中央结算公司</w:t>
            </w:r>
          </w:p>
        </w:tc>
        <w:tc>
          <w:tcPr>
            <w:tcW w:w="1418" w:type="dxa"/>
          </w:tcPr>
          <w:p w:rsidR="00BE71BB" w:rsidRPr="009D1801" w:rsidRDefault="00935C52">
            <w:r w:rsidRPr="00935C52">
              <w:rPr>
                <w:rFonts w:hint="eastAsia"/>
              </w:rPr>
              <w:t>牛玉锐</w:t>
            </w:r>
          </w:p>
        </w:tc>
      </w:tr>
      <w:tr w:rsidR="00BE71BB" w:rsidRPr="009D1801" w:rsidTr="00BE71BB">
        <w:trPr>
          <w:trHeight w:val="70"/>
        </w:trPr>
        <w:tc>
          <w:tcPr>
            <w:tcW w:w="4318" w:type="dxa"/>
            <w:noWrap/>
            <w:hideMark/>
          </w:tcPr>
          <w:p w:rsidR="00BE71BB" w:rsidRPr="009D1801" w:rsidRDefault="00BE71BB">
            <w:r w:rsidRPr="009D1801">
              <w:rPr>
                <w:rFonts w:hint="eastAsia"/>
              </w:rPr>
              <w:t>制造业服务化是否促进了出口产品升级</w:t>
            </w:r>
          </w:p>
        </w:tc>
        <w:tc>
          <w:tcPr>
            <w:tcW w:w="2750" w:type="dxa"/>
            <w:noWrap/>
            <w:hideMark/>
          </w:tcPr>
          <w:p w:rsidR="00BE71BB" w:rsidRPr="009D1801" w:rsidRDefault="00BE71BB">
            <w:r w:rsidRPr="009D1801">
              <w:rPr>
                <w:rFonts w:hint="eastAsia"/>
              </w:rPr>
              <w:t>上海黄金交易所</w:t>
            </w:r>
          </w:p>
        </w:tc>
        <w:tc>
          <w:tcPr>
            <w:tcW w:w="1418" w:type="dxa"/>
          </w:tcPr>
          <w:p w:rsidR="00BE71BB" w:rsidRPr="00BE71BB" w:rsidRDefault="00BE71BB">
            <w:pPr>
              <w:rPr>
                <w:rFonts w:asciiTheme="minorEastAsia" w:hAnsiTheme="minorEastAsia"/>
                <w:szCs w:val="21"/>
              </w:rPr>
            </w:pPr>
            <w:r w:rsidRPr="00BE71BB">
              <w:rPr>
                <w:rFonts w:asciiTheme="minorEastAsia" w:hAnsiTheme="minorEastAsia" w:cs="黑体" w:hint="eastAsia"/>
                <w:bCs/>
                <w:szCs w:val="21"/>
              </w:rPr>
              <w:t>郑乐凯</w:t>
            </w:r>
          </w:p>
        </w:tc>
      </w:tr>
      <w:tr w:rsidR="00BE71BB" w:rsidRPr="009D1801" w:rsidTr="00BE71BB">
        <w:trPr>
          <w:trHeight w:val="270"/>
        </w:trPr>
        <w:tc>
          <w:tcPr>
            <w:tcW w:w="4318" w:type="dxa"/>
            <w:noWrap/>
            <w:hideMark/>
          </w:tcPr>
          <w:p w:rsidR="00BE71BB" w:rsidRPr="009D1801" w:rsidRDefault="00BE71BB">
            <w:r w:rsidRPr="009D1801">
              <w:rPr>
                <w:rFonts w:hint="eastAsia"/>
              </w:rPr>
              <w:t>平衡风险与效率，推动银行间三方回购业务发展</w:t>
            </w:r>
          </w:p>
        </w:tc>
        <w:tc>
          <w:tcPr>
            <w:tcW w:w="2750" w:type="dxa"/>
            <w:noWrap/>
            <w:hideMark/>
          </w:tcPr>
          <w:p w:rsidR="00BE71BB" w:rsidRPr="009D1801" w:rsidRDefault="00BE71BB">
            <w:r w:rsidRPr="009D1801">
              <w:rPr>
                <w:rFonts w:hint="eastAsia"/>
              </w:rPr>
              <w:t>中央结算公司</w:t>
            </w:r>
          </w:p>
        </w:tc>
        <w:tc>
          <w:tcPr>
            <w:tcW w:w="1418" w:type="dxa"/>
          </w:tcPr>
          <w:p w:rsidR="00BE71BB" w:rsidRPr="009D1801" w:rsidRDefault="00935C52">
            <w:r>
              <w:t>张婷</w:t>
            </w:r>
          </w:p>
        </w:tc>
      </w:tr>
      <w:tr w:rsidR="00BE71BB" w:rsidRPr="009D1801" w:rsidTr="00BE71BB">
        <w:trPr>
          <w:trHeight w:val="270"/>
        </w:trPr>
        <w:tc>
          <w:tcPr>
            <w:tcW w:w="4318" w:type="dxa"/>
            <w:noWrap/>
            <w:hideMark/>
          </w:tcPr>
          <w:p w:rsidR="00BE71BB" w:rsidRPr="009D1801" w:rsidRDefault="00BE71BB">
            <w:r w:rsidRPr="009D1801">
              <w:rPr>
                <w:rFonts w:hint="eastAsia"/>
              </w:rPr>
              <w:t>区域性股权市场支持科技创新型中小企业发展体制机制及效果研究</w:t>
            </w:r>
          </w:p>
        </w:tc>
        <w:tc>
          <w:tcPr>
            <w:tcW w:w="2750" w:type="dxa"/>
            <w:noWrap/>
            <w:hideMark/>
          </w:tcPr>
          <w:p w:rsidR="00BE71BB" w:rsidRPr="009D1801" w:rsidRDefault="00BE71BB">
            <w:r w:rsidRPr="009D1801">
              <w:rPr>
                <w:rFonts w:hint="eastAsia"/>
              </w:rPr>
              <w:t>上海股权托管交易中心</w:t>
            </w:r>
          </w:p>
        </w:tc>
        <w:tc>
          <w:tcPr>
            <w:tcW w:w="1418" w:type="dxa"/>
          </w:tcPr>
          <w:p w:rsidR="00BE71BB" w:rsidRPr="009D1801" w:rsidRDefault="0022029C">
            <w:r w:rsidRPr="0022029C">
              <w:rPr>
                <w:rFonts w:hint="eastAsia"/>
              </w:rPr>
              <w:t>张云峰</w:t>
            </w:r>
          </w:p>
        </w:tc>
      </w:tr>
      <w:tr w:rsidR="00BE71BB" w:rsidRPr="009D1801" w:rsidTr="00BE71BB">
        <w:trPr>
          <w:trHeight w:val="270"/>
        </w:trPr>
        <w:tc>
          <w:tcPr>
            <w:tcW w:w="4318" w:type="dxa"/>
            <w:noWrap/>
            <w:hideMark/>
          </w:tcPr>
          <w:p w:rsidR="00BE71BB" w:rsidRPr="009D1801" w:rsidRDefault="00BE71BB">
            <w:r w:rsidRPr="009D1801">
              <w:rPr>
                <w:rFonts w:hint="eastAsia"/>
              </w:rPr>
              <w:t>消费支付渠道研究——财务公司消费金融业务探析</w:t>
            </w:r>
          </w:p>
        </w:tc>
        <w:tc>
          <w:tcPr>
            <w:tcW w:w="2750" w:type="dxa"/>
            <w:noWrap/>
            <w:hideMark/>
          </w:tcPr>
          <w:p w:rsidR="00BE71BB" w:rsidRPr="009D1801" w:rsidRDefault="00BE71BB">
            <w:r w:rsidRPr="009D1801">
              <w:rPr>
                <w:rFonts w:hint="eastAsia"/>
              </w:rPr>
              <w:t>申能财务有限公司</w:t>
            </w:r>
          </w:p>
        </w:tc>
        <w:tc>
          <w:tcPr>
            <w:tcW w:w="1418" w:type="dxa"/>
          </w:tcPr>
          <w:p w:rsidR="00BE71BB" w:rsidRPr="009D1801" w:rsidRDefault="0022029C">
            <w:r>
              <w:t>杜心红</w:t>
            </w:r>
          </w:p>
        </w:tc>
      </w:tr>
      <w:tr w:rsidR="00BE71BB" w:rsidRPr="009D1801" w:rsidTr="00BE71BB">
        <w:trPr>
          <w:trHeight w:val="270"/>
        </w:trPr>
        <w:tc>
          <w:tcPr>
            <w:tcW w:w="4318" w:type="dxa"/>
            <w:noWrap/>
            <w:hideMark/>
          </w:tcPr>
          <w:p w:rsidR="00BE71BB" w:rsidRPr="009D1801" w:rsidRDefault="00BE71BB">
            <w:r w:rsidRPr="009D1801">
              <w:rPr>
                <w:rFonts w:hint="eastAsia"/>
              </w:rPr>
              <w:t>浙商大数据智选消费基金项目简介</w:t>
            </w:r>
          </w:p>
        </w:tc>
        <w:tc>
          <w:tcPr>
            <w:tcW w:w="2750" w:type="dxa"/>
            <w:noWrap/>
            <w:hideMark/>
          </w:tcPr>
          <w:p w:rsidR="00BE71BB" w:rsidRPr="009D1801" w:rsidRDefault="00BE71BB">
            <w:r w:rsidRPr="009D1801">
              <w:rPr>
                <w:rFonts w:hint="eastAsia"/>
              </w:rPr>
              <w:t>通联支付网络服务股份有限公司</w:t>
            </w:r>
          </w:p>
        </w:tc>
        <w:tc>
          <w:tcPr>
            <w:tcW w:w="1418" w:type="dxa"/>
          </w:tcPr>
          <w:p w:rsidR="00BE71BB" w:rsidRPr="009D1801" w:rsidRDefault="0022029C">
            <w:r w:rsidRPr="0022029C">
              <w:rPr>
                <w:rFonts w:hint="eastAsia"/>
              </w:rPr>
              <w:t>陈文成</w:t>
            </w:r>
          </w:p>
        </w:tc>
      </w:tr>
      <w:tr w:rsidR="00BE71BB" w:rsidRPr="009D1801" w:rsidTr="00BE71BB">
        <w:trPr>
          <w:trHeight w:val="270"/>
        </w:trPr>
        <w:tc>
          <w:tcPr>
            <w:tcW w:w="4318" w:type="dxa"/>
            <w:noWrap/>
            <w:hideMark/>
          </w:tcPr>
          <w:p w:rsidR="00BE71BB" w:rsidRPr="009D1801" w:rsidRDefault="00BE71BB">
            <w:r w:rsidRPr="009D1801">
              <w:rPr>
                <w:rFonts w:hint="eastAsia"/>
              </w:rPr>
              <w:t>影子银行规范化发展路径探析</w:t>
            </w:r>
          </w:p>
        </w:tc>
        <w:tc>
          <w:tcPr>
            <w:tcW w:w="2750" w:type="dxa"/>
            <w:noWrap/>
            <w:hideMark/>
          </w:tcPr>
          <w:p w:rsidR="00BE71BB" w:rsidRPr="009D1801" w:rsidRDefault="00BE71BB">
            <w:r w:rsidRPr="009D1801">
              <w:rPr>
                <w:rFonts w:hint="eastAsia"/>
              </w:rPr>
              <w:t>上海黄金交易所</w:t>
            </w:r>
          </w:p>
        </w:tc>
        <w:tc>
          <w:tcPr>
            <w:tcW w:w="1418" w:type="dxa"/>
          </w:tcPr>
          <w:p w:rsidR="00BE71BB" w:rsidRPr="00BE71BB" w:rsidRDefault="00BE71BB">
            <w:pPr>
              <w:rPr>
                <w:rFonts w:asciiTheme="minorEastAsia" w:hAnsiTheme="minorEastAsia"/>
                <w:szCs w:val="21"/>
              </w:rPr>
            </w:pPr>
            <w:r w:rsidRPr="00BE71BB">
              <w:rPr>
                <w:rFonts w:asciiTheme="minorEastAsia" w:hAnsiTheme="minorEastAsia" w:cs="黑体" w:hint="eastAsia"/>
                <w:bCs/>
                <w:szCs w:val="21"/>
              </w:rPr>
              <w:t>刘景卿</w:t>
            </w:r>
          </w:p>
        </w:tc>
      </w:tr>
      <w:tr w:rsidR="00BE71BB" w:rsidRPr="009D1801" w:rsidTr="00BE71BB">
        <w:trPr>
          <w:trHeight w:val="270"/>
        </w:trPr>
        <w:tc>
          <w:tcPr>
            <w:tcW w:w="4318" w:type="dxa"/>
            <w:noWrap/>
            <w:hideMark/>
          </w:tcPr>
          <w:p w:rsidR="00BE71BB" w:rsidRPr="009D1801" w:rsidRDefault="00BE71BB">
            <w:r w:rsidRPr="009D1801">
              <w:rPr>
                <w:rFonts w:hint="eastAsia"/>
              </w:rPr>
              <w:t>建设高效安全的票据市场</w:t>
            </w:r>
          </w:p>
        </w:tc>
        <w:tc>
          <w:tcPr>
            <w:tcW w:w="2750" w:type="dxa"/>
            <w:noWrap/>
            <w:hideMark/>
          </w:tcPr>
          <w:p w:rsidR="00BE71BB" w:rsidRPr="009D1801" w:rsidRDefault="00BE71BB">
            <w:r w:rsidRPr="009D1801">
              <w:rPr>
                <w:rFonts w:hint="eastAsia"/>
              </w:rPr>
              <w:t>上海票据交易所</w:t>
            </w:r>
          </w:p>
        </w:tc>
        <w:tc>
          <w:tcPr>
            <w:tcW w:w="1418" w:type="dxa"/>
          </w:tcPr>
          <w:p w:rsidR="00BE71BB" w:rsidRPr="00BE71BB" w:rsidRDefault="00BE71BB" w:rsidP="00BE71BB">
            <w:pPr>
              <w:spacing w:line="560" w:lineRule="exact"/>
              <w:jc w:val="center"/>
              <w:rPr>
                <w:rFonts w:asciiTheme="minorEastAsia" w:hAnsiTheme="minorEastAsia" w:cs="仿宋"/>
                <w:szCs w:val="21"/>
              </w:rPr>
            </w:pPr>
            <w:r w:rsidRPr="00BE71BB">
              <w:rPr>
                <w:rFonts w:asciiTheme="minorEastAsia" w:hAnsiTheme="minorEastAsia" w:cs="仿宋" w:hint="eastAsia"/>
                <w:szCs w:val="21"/>
              </w:rPr>
              <w:t>宋汉光</w:t>
            </w:r>
          </w:p>
        </w:tc>
      </w:tr>
      <w:tr w:rsidR="00BE71BB" w:rsidRPr="009D1801" w:rsidTr="00BE71BB">
        <w:trPr>
          <w:trHeight w:val="270"/>
        </w:trPr>
        <w:tc>
          <w:tcPr>
            <w:tcW w:w="4318" w:type="dxa"/>
            <w:noWrap/>
            <w:hideMark/>
          </w:tcPr>
          <w:p w:rsidR="00BE71BB" w:rsidRPr="009D1801" w:rsidRDefault="00BE71BB">
            <w:r w:rsidRPr="009D1801">
              <w:rPr>
                <w:rFonts w:hint="eastAsia"/>
              </w:rPr>
              <w:lastRenderedPageBreak/>
              <w:t>普兰在金融科技领域的实践总结</w:t>
            </w:r>
          </w:p>
        </w:tc>
        <w:tc>
          <w:tcPr>
            <w:tcW w:w="2750" w:type="dxa"/>
            <w:noWrap/>
            <w:hideMark/>
          </w:tcPr>
          <w:p w:rsidR="00BE71BB" w:rsidRPr="009D1801" w:rsidRDefault="00BE71BB">
            <w:r w:rsidRPr="009D1801">
              <w:rPr>
                <w:rFonts w:hint="eastAsia"/>
              </w:rPr>
              <w:t>上海普兰金融服务有限公司</w:t>
            </w:r>
          </w:p>
        </w:tc>
        <w:tc>
          <w:tcPr>
            <w:tcW w:w="1418" w:type="dxa"/>
          </w:tcPr>
          <w:p w:rsidR="00BE71BB" w:rsidRPr="009D1801" w:rsidRDefault="00264326">
            <w:r w:rsidRPr="00264326">
              <w:rPr>
                <w:rFonts w:hint="eastAsia"/>
              </w:rPr>
              <w:t>周海滨</w:t>
            </w:r>
          </w:p>
        </w:tc>
      </w:tr>
      <w:tr w:rsidR="00BE71BB" w:rsidRPr="009D1801" w:rsidTr="00BE71BB">
        <w:trPr>
          <w:trHeight w:val="270"/>
        </w:trPr>
        <w:tc>
          <w:tcPr>
            <w:tcW w:w="4318" w:type="dxa"/>
            <w:noWrap/>
            <w:hideMark/>
          </w:tcPr>
          <w:p w:rsidR="00BE71BB" w:rsidRPr="009D1801" w:rsidRDefault="00BE71BB">
            <w:r w:rsidRPr="009D1801">
              <w:rPr>
                <w:rFonts w:hint="eastAsia"/>
              </w:rPr>
              <w:t>大数据对票据市场发展赋能</w:t>
            </w:r>
          </w:p>
        </w:tc>
        <w:tc>
          <w:tcPr>
            <w:tcW w:w="2750" w:type="dxa"/>
            <w:noWrap/>
            <w:hideMark/>
          </w:tcPr>
          <w:p w:rsidR="00BE71BB" w:rsidRPr="009D1801" w:rsidRDefault="00BE71BB">
            <w:r w:rsidRPr="009D1801">
              <w:rPr>
                <w:rFonts w:hint="eastAsia"/>
              </w:rPr>
              <w:t>上海票据交易所</w:t>
            </w:r>
          </w:p>
        </w:tc>
        <w:tc>
          <w:tcPr>
            <w:tcW w:w="1418" w:type="dxa"/>
          </w:tcPr>
          <w:p w:rsidR="00BE71BB" w:rsidRPr="009D1801" w:rsidRDefault="00BE71BB">
            <w:r>
              <w:t>王松</w:t>
            </w:r>
          </w:p>
        </w:tc>
      </w:tr>
      <w:tr w:rsidR="00BE71BB" w:rsidRPr="009D1801" w:rsidTr="00BE71BB">
        <w:trPr>
          <w:trHeight w:val="270"/>
        </w:trPr>
        <w:tc>
          <w:tcPr>
            <w:tcW w:w="4318" w:type="dxa"/>
            <w:noWrap/>
            <w:hideMark/>
          </w:tcPr>
          <w:p w:rsidR="00BE71BB" w:rsidRPr="009D1801" w:rsidRDefault="00BE71BB">
            <w:r w:rsidRPr="009D1801">
              <w:rPr>
                <w:rFonts w:hint="eastAsia"/>
              </w:rPr>
              <w:t>普兰在票据经纪领域的实践总结</w:t>
            </w:r>
          </w:p>
        </w:tc>
        <w:tc>
          <w:tcPr>
            <w:tcW w:w="2750" w:type="dxa"/>
            <w:noWrap/>
            <w:hideMark/>
          </w:tcPr>
          <w:p w:rsidR="00BE71BB" w:rsidRPr="009D1801" w:rsidRDefault="00BE71BB">
            <w:r w:rsidRPr="009D1801">
              <w:rPr>
                <w:rFonts w:hint="eastAsia"/>
              </w:rPr>
              <w:t>上海普兰金融服务有限公司</w:t>
            </w:r>
          </w:p>
        </w:tc>
        <w:tc>
          <w:tcPr>
            <w:tcW w:w="1418" w:type="dxa"/>
          </w:tcPr>
          <w:p w:rsidR="00BE71BB" w:rsidRPr="009D1801" w:rsidRDefault="00264326">
            <w:r w:rsidRPr="00264326">
              <w:rPr>
                <w:rFonts w:hint="eastAsia"/>
              </w:rPr>
              <w:t>周海滨</w:t>
            </w:r>
          </w:p>
        </w:tc>
      </w:tr>
    </w:tbl>
    <w:p w:rsidR="009D6970" w:rsidRDefault="009D6970" w:rsidP="009D6970">
      <w:pPr>
        <w:jc w:val="right"/>
        <w:rPr>
          <w:sz w:val="24"/>
          <w:szCs w:val="24"/>
        </w:rPr>
      </w:pPr>
      <w:r>
        <w:rPr>
          <w:rFonts w:hint="eastAsia"/>
          <w:sz w:val="24"/>
          <w:szCs w:val="24"/>
        </w:rPr>
        <w:t xml:space="preserve">  </w:t>
      </w:r>
    </w:p>
    <w:p w:rsidR="00C10047" w:rsidRDefault="003C78F2" w:rsidP="00C10047">
      <w:pPr>
        <w:jc w:val="right"/>
        <w:rPr>
          <w:sz w:val="24"/>
          <w:szCs w:val="24"/>
        </w:rPr>
      </w:pPr>
      <w:r>
        <w:rPr>
          <w:rFonts w:hint="eastAsia"/>
          <w:sz w:val="24"/>
          <w:szCs w:val="24"/>
        </w:rPr>
        <w:t xml:space="preserve">     </w:t>
      </w:r>
      <w:r>
        <w:rPr>
          <w:rFonts w:hint="eastAsia"/>
          <w:sz w:val="24"/>
          <w:szCs w:val="24"/>
        </w:rPr>
        <w:tab/>
      </w:r>
      <w:r>
        <w:rPr>
          <w:rFonts w:hint="eastAsia"/>
          <w:sz w:val="24"/>
          <w:szCs w:val="24"/>
        </w:rPr>
        <w:tab/>
      </w:r>
      <w:r w:rsidR="00C10047">
        <w:rPr>
          <w:sz w:val="24"/>
          <w:szCs w:val="24"/>
        </w:rPr>
        <w:t>上海金融业联合会</w:t>
      </w:r>
      <w:r w:rsidR="00C10047">
        <w:rPr>
          <w:rFonts w:hint="eastAsia"/>
          <w:sz w:val="24"/>
          <w:szCs w:val="24"/>
        </w:rPr>
        <w:t xml:space="preserve">  </w:t>
      </w:r>
    </w:p>
    <w:p w:rsidR="009D6970" w:rsidRPr="003C78F2" w:rsidRDefault="00C10047" w:rsidP="003C78F2">
      <w:pPr>
        <w:jc w:val="right"/>
      </w:pPr>
      <w:r w:rsidRPr="009D6970">
        <w:rPr>
          <w:sz w:val="24"/>
          <w:szCs w:val="24"/>
        </w:rPr>
        <w:t>2020</w:t>
      </w:r>
      <w:r w:rsidRPr="009D6970">
        <w:rPr>
          <w:sz w:val="24"/>
          <w:szCs w:val="24"/>
        </w:rPr>
        <w:t>年</w:t>
      </w:r>
      <w:r w:rsidR="00851BF9">
        <w:rPr>
          <w:sz w:val="24"/>
          <w:szCs w:val="24"/>
        </w:rPr>
        <w:t>9</w:t>
      </w:r>
      <w:r w:rsidRPr="009D6970">
        <w:rPr>
          <w:sz w:val="24"/>
          <w:szCs w:val="24"/>
        </w:rPr>
        <w:t>月</w:t>
      </w:r>
    </w:p>
    <w:sectPr w:rsidR="009D6970" w:rsidRPr="003C78F2" w:rsidSect="00E2649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D81" w:rsidRDefault="00E01D81" w:rsidP="003468A0">
      <w:r>
        <w:separator/>
      </w:r>
    </w:p>
  </w:endnote>
  <w:endnote w:type="continuationSeparator" w:id="1">
    <w:p w:rsidR="00E01D81" w:rsidRDefault="00E01D81" w:rsidP="003468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Arial Unicode MS"/>
    <w:panose1 w:val="00000000000000000000"/>
    <w:charset w:val="86"/>
    <w:family w:val="swiss"/>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164920"/>
      <w:docPartObj>
        <w:docPartGallery w:val="Page Numbers (Bottom of Page)"/>
        <w:docPartUnique/>
      </w:docPartObj>
    </w:sdtPr>
    <w:sdtContent>
      <w:sdt>
        <w:sdtPr>
          <w:id w:val="171357217"/>
          <w:docPartObj>
            <w:docPartGallery w:val="Page Numbers (Top of Page)"/>
            <w:docPartUnique/>
          </w:docPartObj>
        </w:sdtPr>
        <w:sdtContent>
          <w:p w:rsidR="0009669E" w:rsidRDefault="0009669E">
            <w:pPr>
              <w:pStyle w:val="a4"/>
              <w:jc w:val="center"/>
            </w:pPr>
            <w:r>
              <w:rPr>
                <w:lang w:val="zh-CN"/>
              </w:rPr>
              <w:t xml:space="preserve"> </w:t>
            </w:r>
            <w:r w:rsidR="001279FF">
              <w:rPr>
                <w:b/>
                <w:sz w:val="24"/>
                <w:szCs w:val="24"/>
              </w:rPr>
              <w:fldChar w:fldCharType="begin"/>
            </w:r>
            <w:r>
              <w:rPr>
                <w:b/>
              </w:rPr>
              <w:instrText>PAGE</w:instrText>
            </w:r>
            <w:r w:rsidR="001279FF">
              <w:rPr>
                <w:b/>
                <w:sz w:val="24"/>
                <w:szCs w:val="24"/>
              </w:rPr>
              <w:fldChar w:fldCharType="separate"/>
            </w:r>
            <w:r w:rsidR="00133F0C">
              <w:rPr>
                <w:b/>
                <w:noProof/>
              </w:rPr>
              <w:t>1</w:t>
            </w:r>
            <w:r w:rsidR="001279FF">
              <w:rPr>
                <w:b/>
                <w:sz w:val="24"/>
                <w:szCs w:val="24"/>
              </w:rPr>
              <w:fldChar w:fldCharType="end"/>
            </w:r>
            <w:r>
              <w:rPr>
                <w:lang w:val="zh-CN"/>
              </w:rPr>
              <w:t xml:space="preserve"> / </w:t>
            </w:r>
            <w:r w:rsidR="001279FF">
              <w:rPr>
                <w:b/>
                <w:sz w:val="24"/>
                <w:szCs w:val="24"/>
              </w:rPr>
              <w:fldChar w:fldCharType="begin"/>
            </w:r>
            <w:r>
              <w:rPr>
                <w:b/>
              </w:rPr>
              <w:instrText>NUMPAGES</w:instrText>
            </w:r>
            <w:r w:rsidR="001279FF">
              <w:rPr>
                <w:b/>
                <w:sz w:val="24"/>
                <w:szCs w:val="24"/>
              </w:rPr>
              <w:fldChar w:fldCharType="separate"/>
            </w:r>
            <w:r w:rsidR="00133F0C">
              <w:rPr>
                <w:b/>
                <w:noProof/>
              </w:rPr>
              <w:t>6</w:t>
            </w:r>
            <w:r w:rsidR="001279FF">
              <w:rPr>
                <w:b/>
                <w:sz w:val="24"/>
                <w:szCs w:val="24"/>
              </w:rPr>
              <w:fldChar w:fldCharType="end"/>
            </w:r>
          </w:p>
        </w:sdtContent>
      </w:sdt>
    </w:sdtContent>
  </w:sdt>
  <w:p w:rsidR="0009669E" w:rsidRDefault="0009669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D81" w:rsidRDefault="00E01D81" w:rsidP="003468A0">
      <w:r>
        <w:separator/>
      </w:r>
    </w:p>
  </w:footnote>
  <w:footnote w:type="continuationSeparator" w:id="1">
    <w:p w:rsidR="00E01D81" w:rsidRDefault="00E01D81" w:rsidP="003468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68A0"/>
    <w:rsid w:val="00000DA9"/>
    <w:rsid w:val="00012407"/>
    <w:rsid w:val="0002783C"/>
    <w:rsid w:val="00034159"/>
    <w:rsid w:val="00087EFB"/>
    <w:rsid w:val="00093149"/>
    <w:rsid w:val="0009669E"/>
    <w:rsid w:val="000B4A45"/>
    <w:rsid w:val="000C0C1A"/>
    <w:rsid w:val="000C7103"/>
    <w:rsid w:val="000E4FCB"/>
    <w:rsid w:val="000F30DA"/>
    <w:rsid w:val="00105346"/>
    <w:rsid w:val="001210AF"/>
    <w:rsid w:val="00122FCF"/>
    <w:rsid w:val="001279FF"/>
    <w:rsid w:val="00133F0C"/>
    <w:rsid w:val="001645D4"/>
    <w:rsid w:val="001E720D"/>
    <w:rsid w:val="00203555"/>
    <w:rsid w:val="0022029C"/>
    <w:rsid w:val="00226F04"/>
    <w:rsid w:val="0024004C"/>
    <w:rsid w:val="00264326"/>
    <w:rsid w:val="0027512B"/>
    <w:rsid w:val="002934AB"/>
    <w:rsid w:val="002B4205"/>
    <w:rsid w:val="002C57E7"/>
    <w:rsid w:val="002D1A77"/>
    <w:rsid w:val="002F1D15"/>
    <w:rsid w:val="00300572"/>
    <w:rsid w:val="003468A0"/>
    <w:rsid w:val="0035291E"/>
    <w:rsid w:val="00357D4D"/>
    <w:rsid w:val="00373644"/>
    <w:rsid w:val="00387D9A"/>
    <w:rsid w:val="00395091"/>
    <w:rsid w:val="003B3579"/>
    <w:rsid w:val="003C78F2"/>
    <w:rsid w:val="003E24D1"/>
    <w:rsid w:val="00412620"/>
    <w:rsid w:val="004156DD"/>
    <w:rsid w:val="00431D38"/>
    <w:rsid w:val="00435883"/>
    <w:rsid w:val="004613E6"/>
    <w:rsid w:val="00467CE5"/>
    <w:rsid w:val="00481E8A"/>
    <w:rsid w:val="00485027"/>
    <w:rsid w:val="004A492F"/>
    <w:rsid w:val="004E148D"/>
    <w:rsid w:val="004E3B6B"/>
    <w:rsid w:val="004F1380"/>
    <w:rsid w:val="004F3ADF"/>
    <w:rsid w:val="004F438C"/>
    <w:rsid w:val="00516855"/>
    <w:rsid w:val="00545541"/>
    <w:rsid w:val="005744D6"/>
    <w:rsid w:val="00581A7A"/>
    <w:rsid w:val="005B6935"/>
    <w:rsid w:val="005D0977"/>
    <w:rsid w:val="005D6FB7"/>
    <w:rsid w:val="00633135"/>
    <w:rsid w:val="00634641"/>
    <w:rsid w:val="006368FD"/>
    <w:rsid w:val="00647CA2"/>
    <w:rsid w:val="006538A8"/>
    <w:rsid w:val="00684042"/>
    <w:rsid w:val="00693AEB"/>
    <w:rsid w:val="006D13E3"/>
    <w:rsid w:val="006D7426"/>
    <w:rsid w:val="00700F60"/>
    <w:rsid w:val="00747127"/>
    <w:rsid w:val="00771B1D"/>
    <w:rsid w:val="007979FB"/>
    <w:rsid w:val="007C3BB4"/>
    <w:rsid w:val="007F7EDA"/>
    <w:rsid w:val="00851BF9"/>
    <w:rsid w:val="008576AC"/>
    <w:rsid w:val="00867E35"/>
    <w:rsid w:val="008B4181"/>
    <w:rsid w:val="008C381D"/>
    <w:rsid w:val="008D165F"/>
    <w:rsid w:val="008D6DA6"/>
    <w:rsid w:val="0090654A"/>
    <w:rsid w:val="00915A69"/>
    <w:rsid w:val="009257CB"/>
    <w:rsid w:val="00935C52"/>
    <w:rsid w:val="00963FA3"/>
    <w:rsid w:val="00967173"/>
    <w:rsid w:val="009C0427"/>
    <w:rsid w:val="009C0DE3"/>
    <w:rsid w:val="009D1801"/>
    <w:rsid w:val="009D6970"/>
    <w:rsid w:val="009D7E41"/>
    <w:rsid w:val="009E6857"/>
    <w:rsid w:val="009F01C0"/>
    <w:rsid w:val="00A23F00"/>
    <w:rsid w:val="00A26EFC"/>
    <w:rsid w:val="00A7536A"/>
    <w:rsid w:val="00A8358C"/>
    <w:rsid w:val="00AC79A8"/>
    <w:rsid w:val="00B0610D"/>
    <w:rsid w:val="00B16D92"/>
    <w:rsid w:val="00B23A33"/>
    <w:rsid w:val="00B33E5A"/>
    <w:rsid w:val="00B40D60"/>
    <w:rsid w:val="00B478D4"/>
    <w:rsid w:val="00B62EB6"/>
    <w:rsid w:val="00B648A3"/>
    <w:rsid w:val="00B660D5"/>
    <w:rsid w:val="00BD6CA1"/>
    <w:rsid w:val="00BE71BB"/>
    <w:rsid w:val="00BF3AD7"/>
    <w:rsid w:val="00C10047"/>
    <w:rsid w:val="00C56B39"/>
    <w:rsid w:val="00C64B71"/>
    <w:rsid w:val="00C74D49"/>
    <w:rsid w:val="00C75C88"/>
    <w:rsid w:val="00C81A08"/>
    <w:rsid w:val="00CD2374"/>
    <w:rsid w:val="00CF3CD2"/>
    <w:rsid w:val="00D0202C"/>
    <w:rsid w:val="00D057E0"/>
    <w:rsid w:val="00D125AA"/>
    <w:rsid w:val="00D16771"/>
    <w:rsid w:val="00D32656"/>
    <w:rsid w:val="00D4509E"/>
    <w:rsid w:val="00D53CF1"/>
    <w:rsid w:val="00D66EDC"/>
    <w:rsid w:val="00D82461"/>
    <w:rsid w:val="00DA309E"/>
    <w:rsid w:val="00DB1CD9"/>
    <w:rsid w:val="00DE48BA"/>
    <w:rsid w:val="00E01D81"/>
    <w:rsid w:val="00E13882"/>
    <w:rsid w:val="00E17975"/>
    <w:rsid w:val="00E2649E"/>
    <w:rsid w:val="00E362FF"/>
    <w:rsid w:val="00E85D03"/>
    <w:rsid w:val="00E907D2"/>
    <w:rsid w:val="00E90937"/>
    <w:rsid w:val="00EA270F"/>
    <w:rsid w:val="00EC69F0"/>
    <w:rsid w:val="00EE0836"/>
    <w:rsid w:val="00EE28E9"/>
    <w:rsid w:val="00EF5B74"/>
    <w:rsid w:val="00F355A5"/>
    <w:rsid w:val="00F35C3C"/>
    <w:rsid w:val="00F42FD0"/>
    <w:rsid w:val="00F468C6"/>
    <w:rsid w:val="00F536EF"/>
    <w:rsid w:val="00F61CC6"/>
    <w:rsid w:val="00F76868"/>
    <w:rsid w:val="00FD0E85"/>
    <w:rsid w:val="00FE55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4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68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68A0"/>
    <w:rPr>
      <w:sz w:val="18"/>
      <w:szCs w:val="18"/>
    </w:rPr>
  </w:style>
  <w:style w:type="paragraph" w:styleId="a4">
    <w:name w:val="footer"/>
    <w:basedOn w:val="a"/>
    <w:link w:val="Char0"/>
    <w:uiPriority w:val="99"/>
    <w:unhideWhenUsed/>
    <w:rsid w:val="003468A0"/>
    <w:pPr>
      <w:tabs>
        <w:tab w:val="center" w:pos="4153"/>
        <w:tab w:val="right" w:pos="8306"/>
      </w:tabs>
      <w:snapToGrid w:val="0"/>
      <w:jc w:val="left"/>
    </w:pPr>
    <w:rPr>
      <w:sz w:val="18"/>
      <w:szCs w:val="18"/>
    </w:rPr>
  </w:style>
  <w:style w:type="character" w:customStyle="1" w:styleId="Char0">
    <w:name w:val="页脚 Char"/>
    <w:basedOn w:val="a0"/>
    <w:link w:val="a4"/>
    <w:uiPriority w:val="99"/>
    <w:rsid w:val="003468A0"/>
    <w:rPr>
      <w:sz w:val="18"/>
      <w:szCs w:val="18"/>
    </w:rPr>
  </w:style>
  <w:style w:type="table" w:styleId="a5">
    <w:name w:val="Table Grid"/>
    <w:basedOn w:val="a1"/>
    <w:uiPriority w:val="59"/>
    <w:rsid w:val="00F768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E4FCB"/>
    <w:pPr>
      <w:widowControl w:val="0"/>
      <w:autoSpaceDE w:val="0"/>
      <w:autoSpaceDN w:val="0"/>
      <w:adjustRightInd w:val="0"/>
    </w:pPr>
    <w:rPr>
      <w:rFonts w:ascii="黑体" w:eastAsia="黑体" w:cs="黑体"/>
      <w:color w:val="000000"/>
      <w:kern w:val="0"/>
      <w:sz w:val="24"/>
      <w:szCs w:val="24"/>
    </w:rPr>
  </w:style>
  <w:style w:type="character" w:customStyle="1" w:styleId="Char1">
    <w:name w:val="正文样式 Char"/>
    <w:basedOn w:val="a0"/>
    <w:link w:val="a6"/>
    <w:qFormat/>
    <w:locked/>
    <w:rsid w:val="00EA270F"/>
    <w:rPr>
      <w:rFonts w:ascii="方正仿宋简体" w:eastAsia="方正仿宋简体" w:hAnsi="仿宋"/>
      <w:sz w:val="28"/>
      <w:szCs w:val="28"/>
    </w:rPr>
  </w:style>
  <w:style w:type="paragraph" w:customStyle="1" w:styleId="a6">
    <w:name w:val="正文样式"/>
    <w:basedOn w:val="a"/>
    <w:link w:val="Char1"/>
    <w:qFormat/>
    <w:rsid w:val="00EA270F"/>
    <w:pPr>
      <w:adjustRightInd w:val="0"/>
      <w:snapToGrid w:val="0"/>
      <w:spacing w:line="360" w:lineRule="auto"/>
      <w:ind w:firstLineChars="200" w:firstLine="560"/>
    </w:pPr>
    <w:rPr>
      <w:rFonts w:ascii="方正仿宋简体" w:eastAsia="方正仿宋简体" w:hAnsi="仿宋"/>
      <w:sz w:val="28"/>
      <w:szCs w:val="28"/>
    </w:rPr>
  </w:style>
  <w:style w:type="character" w:customStyle="1" w:styleId="fontstyle01">
    <w:name w:val="fontstyle01"/>
    <w:rsid w:val="002B4205"/>
    <w:rPr>
      <w:rFonts w:ascii="宋体" w:eastAsia="宋体" w:hAnsi="宋体" w:hint="eastAsia"/>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417168642">
      <w:bodyDiv w:val="1"/>
      <w:marLeft w:val="0"/>
      <w:marRight w:val="0"/>
      <w:marTop w:val="0"/>
      <w:marBottom w:val="0"/>
      <w:divBdr>
        <w:top w:val="none" w:sz="0" w:space="0" w:color="auto"/>
        <w:left w:val="none" w:sz="0" w:space="0" w:color="auto"/>
        <w:bottom w:val="none" w:sz="0" w:space="0" w:color="auto"/>
        <w:right w:val="none" w:sz="0" w:space="0" w:color="auto"/>
      </w:divBdr>
    </w:div>
    <w:div w:id="526525013">
      <w:bodyDiv w:val="1"/>
      <w:marLeft w:val="0"/>
      <w:marRight w:val="0"/>
      <w:marTop w:val="0"/>
      <w:marBottom w:val="0"/>
      <w:divBdr>
        <w:top w:val="none" w:sz="0" w:space="0" w:color="auto"/>
        <w:left w:val="none" w:sz="0" w:space="0" w:color="auto"/>
        <w:bottom w:val="none" w:sz="0" w:space="0" w:color="auto"/>
        <w:right w:val="none" w:sz="0" w:space="0" w:color="auto"/>
      </w:divBdr>
    </w:div>
    <w:div w:id="772090436">
      <w:bodyDiv w:val="1"/>
      <w:marLeft w:val="0"/>
      <w:marRight w:val="0"/>
      <w:marTop w:val="0"/>
      <w:marBottom w:val="0"/>
      <w:divBdr>
        <w:top w:val="none" w:sz="0" w:space="0" w:color="auto"/>
        <w:left w:val="none" w:sz="0" w:space="0" w:color="auto"/>
        <w:bottom w:val="none" w:sz="0" w:space="0" w:color="auto"/>
        <w:right w:val="none" w:sz="0" w:space="0" w:color="auto"/>
      </w:divBdr>
    </w:div>
    <w:div w:id="847519774">
      <w:bodyDiv w:val="1"/>
      <w:marLeft w:val="0"/>
      <w:marRight w:val="0"/>
      <w:marTop w:val="0"/>
      <w:marBottom w:val="0"/>
      <w:divBdr>
        <w:top w:val="none" w:sz="0" w:space="0" w:color="auto"/>
        <w:left w:val="none" w:sz="0" w:space="0" w:color="auto"/>
        <w:bottom w:val="none" w:sz="0" w:space="0" w:color="auto"/>
        <w:right w:val="none" w:sz="0" w:space="0" w:color="auto"/>
      </w:divBdr>
    </w:div>
    <w:div w:id="1348218048">
      <w:bodyDiv w:val="1"/>
      <w:marLeft w:val="0"/>
      <w:marRight w:val="0"/>
      <w:marTop w:val="0"/>
      <w:marBottom w:val="0"/>
      <w:divBdr>
        <w:top w:val="none" w:sz="0" w:space="0" w:color="auto"/>
        <w:left w:val="none" w:sz="0" w:space="0" w:color="auto"/>
        <w:bottom w:val="none" w:sz="0" w:space="0" w:color="auto"/>
        <w:right w:val="none" w:sz="0" w:space="0" w:color="auto"/>
      </w:divBdr>
    </w:div>
    <w:div w:id="1588617554">
      <w:bodyDiv w:val="1"/>
      <w:marLeft w:val="0"/>
      <w:marRight w:val="0"/>
      <w:marTop w:val="0"/>
      <w:marBottom w:val="0"/>
      <w:divBdr>
        <w:top w:val="none" w:sz="0" w:space="0" w:color="auto"/>
        <w:left w:val="none" w:sz="0" w:space="0" w:color="auto"/>
        <w:bottom w:val="none" w:sz="0" w:space="0" w:color="auto"/>
        <w:right w:val="none" w:sz="0" w:space="0" w:color="auto"/>
      </w:divBdr>
    </w:div>
    <w:div w:id="1779716950">
      <w:bodyDiv w:val="1"/>
      <w:marLeft w:val="0"/>
      <w:marRight w:val="0"/>
      <w:marTop w:val="0"/>
      <w:marBottom w:val="0"/>
      <w:divBdr>
        <w:top w:val="none" w:sz="0" w:space="0" w:color="auto"/>
        <w:left w:val="none" w:sz="0" w:space="0" w:color="auto"/>
        <w:bottom w:val="none" w:sz="0" w:space="0" w:color="auto"/>
        <w:right w:val="none" w:sz="0" w:space="0" w:color="auto"/>
      </w:divBdr>
    </w:div>
    <w:div w:id="1964575020">
      <w:bodyDiv w:val="1"/>
      <w:marLeft w:val="0"/>
      <w:marRight w:val="0"/>
      <w:marTop w:val="0"/>
      <w:marBottom w:val="0"/>
      <w:divBdr>
        <w:top w:val="none" w:sz="0" w:space="0" w:color="auto"/>
        <w:left w:val="none" w:sz="0" w:space="0" w:color="auto"/>
        <w:bottom w:val="none" w:sz="0" w:space="0" w:color="auto"/>
        <w:right w:val="none" w:sz="0" w:space="0" w:color="auto"/>
      </w:divBdr>
    </w:div>
    <w:div w:id="20425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718</Words>
  <Characters>4093</Characters>
  <Application>Microsoft Office Word</Application>
  <DocSecurity>0</DocSecurity>
  <Lines>34</Lines>
  <Paragraphs>9</Paragraphs>
  <ScaleCrop>false</ScaleCrop>
  <Company>Hewlett-Packard Company</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banban_g2002@hotmail.com</dc:creator>
  <cp:lastModifiedBy>sunyx</cp:lastModifiedBy>
  <cp:revision>3</cp:revision>
  <cp:lastPrinted>2020-09-01T01:28:00Z</cp:lastPrinted>
  <dcterms:created xsi:type="dcterms:W3CDTF">2020-09-11T09:16:00Z</dcterms:created>
  <dcterms:modified xsi:type="dcterms:W3CDTF">2020-09-11T09:29:00Z</dcterms:modified>
</cp:coreProperties>
</file>